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26520-2025 i Habo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