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14713-2025 i Habo kommun</w:t>
      </w:r>
    </w:p>
    <w:p>
      <w:r>
        <w:t>Detta dokument behandlar höga naturvärden i avverkningsanmälan A 14713-2025 i Habo kommun. Denna avverkningsanmälan inkom 2025-03-26 14:38:34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0811"/>
            <wp:docPr id="1" name="Picture 1"/>
            <wp:cNvGraphicFramePr>
              <a:graphicFrameLocks noChangeAspect="1"/>
            </wp:cNvGraphicFramePr>
            <a:graphic>
              <a:graphicData uri="http://schemas.openxmlformats.org/drawingml/2006/picture">
                <pic:pic>
                  <pic:nvPicPr>
                    <pic:cNvPr id="0" name="A 14713-2025 karta.png"/>
                    <pic:cNvPicPr/>
                  </pic:nvPicPr>
                  <pic:blipFill>
                    <a:blip r:embed="rId16"/>
                    <a:stretch>
                      <a:fillRect/>
                    </a:stretch>
                  </pic:blipFill>
                  <pic:spPr>
                    <a:xfrm>
                      <a:off x="0" y="0"/>
                      <a:ext cx="5486400" cy="3070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6438945, E 450094 i SWEREF 99 TM.</w:t>
      </w:r>
    </w:p>
    <w:p>
      <w:pPr>
        <w:pStyle w:val="Heading1"/>
      </w:pPr>
      <w:r>
        <w:t>Fridlysta arter</w:t>
      </w:r>
    </w:p>
    <w:p>
      <w:r>
        <w:t>Följande fridlysta arter har sina livsmiljöer och växtplatser i den avverkningsanmälda skogen: mellanlummer (VU, §9).</w:t>
      </w:r>
    </w:p>
    <w:p>
      <w:r>
        <w:rPr>
          <w:b/>
        </w:rPr>
        <w:t>Mellanlummer (VU, §8)</w:t>
      </w:r>
      <w:r>
        <w:t xml:space="preserve"> är fridlyst enligt 8 § artskyddsförordningen och omfattas av EU:s art- och habitatdirektiv där dess bevarandestatus är otillfredsställande med negativ trend. Den är brandgynnad och hittas framför allt i ljus och öppen tallskog på torr, sandig och grusig mark. Tallskogen är oftast lavdominerad och växtplatserna är ofta belägna på åsar och sydsluttningar. Arten är rödlistad som nära hotad (NT) på den europeiska rödlistan (SLU Artdatabanken, 2024; 2019;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