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45-2025 i Ha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