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58663-2024 i Habo kommun</w:t>
      </w:r>
    </w:p>
    <w:p>
      <w:r>
        <w:t>Detta klagomål behandlar höga naturvärden i avverkningsanmälan A 58663-2024 i Habo kommun som inkom 2024-12-09 och omfattar 2,0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58663-2024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6428497, E 449041 i SWEREF 99 TM.</w:t>
      </w:r>
    </w:p>
    <w:p>
      <w:r>
        <w:t>I avverkningsanmälan finns fynd av 2 naturvårdsarter, varav 2 är rödlistade och 1 är typisk (T): motaggsvamp (NT, T) och Rhithrogena germanica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i/>
        </w:rPr>
        <w:t xml:space="preserve">Rhithrogena germanica </w:t>
      </w:r>
      <w:r>
        <w:rPr>
          <w:b/>
        </w:rPr>
        <w:t>(NT)</w:t>
      </w:r>
      <w:r>
        <w:t xml:space="preserve"> är en ovanlig dagslända som endast förekommer i södra och mellersta Götaland. Kärnområdet utgörs av ett brett band, söder om Vättern. Finns även på några lokaler i Skåne och sydligaste Halland. Tycks främst förekomma på strukturellt intakta lokaler som ej är igenslammade, ofta tillsammans med andra krävande arter. Artens biotoper kan skadas av skogsbruk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