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58667-2024 i Habo kommun</w:t>
      </w:r>
    </w:p>
    <w:p>
      <w:r>
        <w:t>Denna tillsynsbegäran behandlar höga naturvärden i avverkningsanmälan A 58667-2024 i Habo kommun som inkom 2024-12-09 och omfattar 1,8 ha.</w:t>
      </w:r>
    </w:p>
    <w:p>
      <w:pPr>
        <w:pStyle w:val="Caption"/>
      </w:pPr>
      <w:r>
        <w:drawing>
          <wp:inline xmlns:a="http://schemas.openxmlformats.org/drawingml/2006/main" xmlns:pic="http://schemas.openxmlformats.org/drawingml/2006/picture">
            <wp:extent cx="5486400" cy="5135228"/>
            <wp:docPr id="1" name="Picture 1"/>
            <wp:cNvGraphicFramePr>
              <a:graphicFrameLocks noChangeAspect="1"/>
            </wp:cNvGraphicFramePr>
            <a:graphic>
              <a:graphicData uri="http://schemas.openxmlformats.org/drawingml/2006/picture">
                <pic:pic>
                  <pic:nvPicPr>
                    <pic:cNvPr id="0" name="A 58667-2024 karta.png"/>
                    <pic:cNvPicPr/>
                  </pic:nvPicPr>
                  <pic:blipFill>
                    <a:blip r:embed="rId16"/>
                    <a:stretch>
                      <a:fillRect/>
                    </a:stretch>
                  </pic:blipFill>
                  <pic:spPr>
                    <a:xfrm>
                      <a:off x="0" y="0"/>
                      <a:ext cx="5486400" cy="5135228"/>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6431131, E 450221 i SWEREF 99 TM.</w:t>
      </w:r>
    </w:p>
    <w:p>
      <w:r>
        <w:t>I och inom 24 meter från avverkningsanmälan finns fynd av 5 naturvårdsarter, varav 5 är rödlistade, 1 är fridlyst och 3 är typiska (T): knärot (VU, T, §8), barrviolspindling (NT), dofttaggsvamp (NT, T), motaggsvamp (NT, T) och vaddporing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0.52 ha med buffertzonerna och får av detta skäl inte avverkas.</w:t>
      </w:r>
    </w:p>
    <w:p>
      <w:pPr>
        <w:pStyle w:val="Caption"/>
      </w:pPr>
      <w:r>
        <w:drawing>
          <wp:inline xmlns:a="http://schemas.openxmlformats.org/drawingml/2006/main" xmlns:pic="http://schemas.openxmlformats.org/drawingml/2006/picture">
            <wp:extent cx="5486400" cy="6482105"/>
            <wp:docPr id="2" name="Picture 2"/>
            <wp:cNvGraphicFramePr>
              <a:graphicFrameLocks noChangeAspect="1"/>
            </wp:cNvGraphicFramePr>
            <a:graphic>
              <a:graphicData uri="http://schemas.openxmlformats.org/drawingml/2006/picture">
                <pic:pic>
                  <pic:nvPicPr>
                    <pic:cNvPr id="0" name="A 58667-2024 karta knärot.png"/>
                    <pic:cNvPicPr/>
                  </pic:nvPicPr>
                  <pic:blipFill>
                    <a:blip r:embed="rId17"/>
                    <a:stretch>
                      <a:fillRect/>
                    </a:stretch>
                  </pic:blipFill>
                  <pic:spPr>
                    <a:xfrm>
                      <a:off x="0" y="0"/>
                      <a:ext cx="5486400" cy="648210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6431131, E 450221 i SWEREF 99 TM.</w:t>
      </w:r>
    </w:p>
    <w:p>
      <w:r>
        <w:rPr>
          <w:b/>
        </w:rPr>
        <w:t>Barrviolspindling (NT)</w:t>
      </w:r>
      <w:r>
        <w:t xml:space="preserve"> bildar mykorrhiza med gran, huvudsakligen i örtrika kalkpåverkade äldre granskogar. Arten är sannolikt uttorkningskänslig och knuten till granskogar med långvarig grankontinuitet. Den hotas främst av skogsavverkning och tycks försvinna efter slutavverkning, markberedning och plantering. Minskningstakten uppgår till 15 % inom 50 år och bedöms vara nära gränsvärdet för Sårbar (VU). (A2c+3c+4c) (SLU Artdatabanken, 2024; Nitare &amp; Skogsstyrelsen, 2019).</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