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36230-2024 i Habo kommun</w:t>
      </w:r>
    </w:p>
    <w:p>
      <w:r>
        <w:t>Denna tillsynsbegäran behandlar höga naturvärden i avverkningsanmälan A 36230-2024 i Habo kommun som inkom 2024-08-30 och omfattar 6,5 ha.</w:t>
      </w:r>
    </w:p>
    <w:p>
      <w:pPr>
        <w:pStyle w:val="Caption"/>
      </w:pPr>
      <w:r>
        <w:drawing>
          <wp:inline xmlns:a="http://schemas.openxmlformats.org/drawingml/2006/main" xmlns:pic="http://schemas.openxmlformats.org/drawingml/2006/picture">
            <wp:extent cx="5486400" cy="4300508"/>
            <wp:docPr id="1" name="Picture 1"/>
            <wp:cNvGraphicFramePr>
              <a:graphicFrameLocks noChangeAspect="1"/>
            </wp:cNvGraphicFramePr>
            <a:graphic>
              <a:graphicData uri="http://schemas.openxmlformats.org/drawingml/2006/picture">
                <pic:pic>
                  <pic:nvPicPr>
                    <pic:cNvPr id="0" name="A 36230-2024 karta.png"/>
                    <pic:cNvPicPr/>
                  </pic:nvPicPr>
                  <pic:blipFill>
                    <a:blip r:embed="rId16"/>
                    <a:stretch>
                      <a:fillRect/>
                    </a:stretch>
                  </pic:blipFill>
                  <pic:spPr>
                    <a:xfrm>
                      <a:off x="0" y="0"/>
                      <a:ext cx="5486400" cy="4300508"/>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6433019, E 446033 i SWEREF 99 TM.</w:t>
      </w:r>
    </w:p>
    <w:p>
      <w:r>
        <w:t>I och inom 20 meter från avverkningsanmälan finns fynd av 6 naturvårdsarter, varav 4 är rödlistade, 3 är typiska (T) och 2 är signalarter (S): skrovlig taggsvamp (VU), torrmusseron (VU), dropptaggsvamp (NT, T), motaggsvamp (NT, T), mindre märgborre (S, T) och zontaggsvamp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 xml:space="preserve">Torrmusseron (VU) </w:t>
      </w:r>
      <w:r>
        <w:t>bildar mykorrhiza med tall, huvudsakligen på sandig mark på magra äldre tallhedar med tunt fältskikt. Bara påträffad i äldre skog med naturskogskaraktär eller skogar som plock- eller dimensionsavverkats. Bedöms ha svårt att återetableras efter kalavverkning och slutavverkning, markberedning och gödsling bör ej förekomma på kända lokaler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br w:type="page"/>
      </w:r>
    </w:p>
    <w:p>
      <w:pPr>
        <w:pStyle w:val="Title"/>
      </w:pPr>
      <w:r>
        <w:t>BILAGA 1 –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