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44444-2023 i Habo kommun</w:t>
      </w:r>
    </w:p>
    <w:p>
      <w:r>
        <w:t>Denna tillsynsbegäran behandlar höga naturvärden i avverkningsanmälan A 44444-2023 i Habo kommun som inkom 2023-09-14 och omfattar 9,5 ha.</w:t>
      </w:r>
    </w:p>
    <w:p>
      <w:pPr>
        <w:pStyle w:val="Caption"/>
      </w:pPr>
      <w:r>
        <w:drawing>
          <wp:inline xmlns:a="http://schemas.openxmlformats.org/drawingml/2006/main" xmlns:pic="http://schemas.openxmlformats.org/drawingml/2006/picture">
            <wp:extent cx="5486400" cy="5561814"/>
            <wp:docPr id="1" name="Picture 1"/>
            <wp:cNvGraphicFramePr>
              <a:graphicFrameLocks noChangeAspect="1"/>
            </wp:cNvGraphicFramePr>
            <a:graphic>
              <a:graphicData uri="http://schemas.openxmlformats.org/drawingml/2006/picture">
                <pic:pic>
                  <pic:nvPicPr>
                    <pic:cNvPr id="0" name="A 44444-2023 karta.png"/>
                    <pic:cNvPicPr/>
                  </pic:nvPicPr>
                  <pic:blipFill>
                    <a:blip r:embed="rId16"/>
                    <a:stretch>
                      <a:fillRect/>
                    </a:stretch>
                  </pic:blipFill>
                  <pic:spPr>
                    <a:xfrm>
                      <a:off x="0" y="0"/>
                      <a:ext cx="5486400" cy="55618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6431874, E 447234 i SWEREF 99 TM.</w:t>
      </w:r>
    </w:p>
    <w:p>
      <w:r>
        <w:t>I avverkningsanmälan finns fynd av 5 naturvårdsarter, varav 5 är rödlistade, 2 är fridlysta och 1 är typisk (T): cypresslummer (EN, §8), torrmusseron (VU), mellanlummer (NT, §9), motaggsvamp (NT, T) och svartvit 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Cypresslummer (EN, §8)</w:t>
      </w:r>
      <w:r>
        <w:t xml:space="preserve"> är en fridlyst och starkt hotad art som omfattas av EU:s art- och habitatdirektiv där dess bevarandestatus är dålig med negativ trend. Arten har minskat med mer än 80% under åren 1987–2024. Den kan hittas i sandig eller grusig, torr och öppen tallskog, ”tallmo”. Den behöver mycket ljus och är brandgynnad. Arten är placerad högst upp i Skogsstyrelsens värdepyramid för bedömning av skog med höga naturvärden och rödlistad som nära hotad (NT) på den europeiska rödlistan vilket innebär att Sverige har ett internationellt ansvar för arten. Cypresslummer är typisk art för </w:t>
      </w:r>
      <w:r>
        <w:rPr>
          <w:i/>
        </w:rPr>
        <w:t>5130 Enbuskmarker</w:t>
      </w:r>
      <w:r>
        <w:t xml:space="preserve"> (SLU Artdatabanken, 2026; Nitare &amp; Skogsstyrelsen, 2019; IUCN, 2016).</w:t>
      </w:r>
    </w:p>
    <w:p>
      <w:r>
        <w:rPr>
          <w:b/>
        </w:rPr>
        <w:t xml:space="preserve">Torrmusseron (VU) </w:t>
      </w:r>
      <w:r>
        <w:t>bildar mykorrhiza med tall, huvudsakligen på sandig mark på magra äldre tallhedar med tunt fältskikt. Bara påträffad i äldre skog med naturskogskaraktär eller skogar som plock- eller dimensionsavverkats. Bedöms ha svårt att återetableras efter kalavverkning och slutavverkning, markberedning och gödsling bör ej förekomma på kända lokaler (SLU Artdatabanken, 2024).</w:t>
      </w:r>
    </w:p>
    <w:p>
      <w:r>
        <w:rPr>
          <w:b/>
        </w:rPr>
        <w:t>Mellanlummer (NT, §8)</w:t>
      </w:r>
      <w:r>
        <w:t xml:space="preserve"> är fridlyst enligt 8 § artskyddsförordningen och omfattas av EU:s art- och habitatdirektiv där dess bevarandestatus är otillfredsställande med negativ trend. Den är brandgynnad och hittas framför allt i ljus och öppen tallskog på torr, sandig och grusig mark. Tallskogen är oftast lavdominerad och växtplatserna är ofta belägna på åsar och sydsluttningar. Arten är rödlistad som nära hotad (NT) på den europeiska rödlistan vilket innebär att Sverige har ett internationellt ansvar för arten (SLU Artdatabanken, 2026; IUCN,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