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2729-2025 i Gislaveds kommun</w:t>
      </w:r>
    </w:p>
    <w:p>
      <w:r>
        <w:t>Detta klagomål behandlar höga naturvärden i samrådsanmälan S 2729-2025 i Gislaveds kommun som inkom 2025-10-01 och omfattar 2,3 ha.</w:t>
      </w:r>
    </w:p>
    <w:p>
      <w:pPr>
        <w:pStyle w:val="Caption"/>
      </w:pPr>
      <w:r>
        <w:drawing>
          <wp:inline xmlns:a="http://schemas.openxmlformats.org/drawingml/2006/main" xmlns:pic="http://schemas.openxmlformats.org/drawingml/2006/picture">
            <wp:extent cx="5486400" cy="4441008"/>
            <wp:docPr id="1" name="Picture 1"/>
            <wp:cNvGraphicFramePr>
              <a:graphicFrameLocks noChangeAspect="1"/>
            </wp:cNvGraphicFramePr>
            <a:graphic>
              <a:graphicData uri="http://schemas.openxmlformats.org/drawingml/2006/picture">
                <pic:pic>
                  <pic:nvPicPr>
                    <pic:cNvPr id="0" name="S 2729-2025 karta.png"/>
                    <pic:cNvPicPr/>
                  </pic:nvPicPr>
                  <pic:blipFill>
                    <a:blip r:embed="rId16"/>
                    <a:stretch>
                      <a:fillRect/>
                    </a:stretch>
                  </pic:blipFill>
                  <pic:spPr>
                    <a:xfrm>
                      <a:off x="0" y="0"/>
                      <a:ext cx="5486400" cy="4441008"/>
                    </a:xfrm>
                    <a:prstGeom prst="rect"/>
                  </pic:spPr>
                </pic:pic>
              </a:graphicData>
            </a:graphic>
          </wp:inline>
        </w:drawing>
      </w:r>
    </w:p>
    <w:p>
      <w:pPr>
        <w:pStyle w:val="Caption"/>
        <w:spacing w:after="240"/>
      </w:pPr>
      <w:r>
        <w:t>Figur 1. Fyndplatser för naturvårdsarter i och inom 17 meter från samrådsanmälan. Markörer utan svart kant är placerade på fyndplatsen. Markörer med svart kant är placerade vid sidan av fyndplatsen och har ett svart streck som visar fyndplatsens exakta position. Kartans mittpunktskoordinat är N 6349468, E 398116 i SWEREF 99 TM.</w:t>
      </w:r>
    </w:p>
    <w:p>
      <w:r>
        <w:t>I och inom 17 meter från samrådsanmälan finns fynd av 14 naturvårdsarter, varav 6 är rödlistade, 8 är fridlysta, 10 är typiska (T) och 4 är signalarter (S): hornuggla (EN, §4), tornseglare (VU, §4), entita (NT, T, §4), grynig filtlav (NT, T), lunglav (NT, T), mindre hackspett (NT, T, §4), fällmossa (S, T), guldlockmossa (S, T), lönnlav (S), sotlav (S, T), nattskärra (T, §4), spillkråka (T, §4), tjäder (T, §4) och trana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Tornseglare (VU, §4)</w:t>
      </w:r>
      <w:r>
        <w:t xml:space="preserve"> har minskat med 40 (30–50) % under de senaste 24 åren och minskningstakten överstiger gränsvärdet för sårbar (VU). Tornseglaren är en typisk hålhäckare som numera huvudsakligen är knuten till mänsklig bebyggelse. En mindre andel av beståndet häckar i mer ursprungliga miljöer, i första hand i gamla hackspetthål (främst spillkråkehål) och andra typer av håligheter i träd, men även i klippskrevor. I de inre delarna av de två nordligaste länen (Lappland) häckar den huvudsakligen i ren skogsmiljö, framförallt i gammal gles tallskog. För de tornseglare som häckar i träd i Norrlands inland har situationen sannolikt försämrats till följd av minskad mängd hålträd och av stora arealer tät produktionsskog. När arten förekommer i sluten skog handlar det ofta om skyddsvärda skogsmiljöer med äldre tallskog av naturskogskaraktär (SLU Artdatabanken, 2026; Skogsstyrelsen, 2016).</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Grynig filtlav (NT)</w:t>
      </w:r>
      <w:r>
        <w:t xml:space="preserve"> tillhör en grupp fuktighetskrävande, storväxta bladlavar där också bl.a. lunglav (NT) ingår. Den växer framför allt på gamla mossiga stammar av lövträd, särskilt ädellövträd samt asp och sälg, i kulturmarker, lövskogar, halvöppna och lövrika barrblandskogar i områden med hög luftfuktighet. Arten indikerar långvarig förekomst av gamla lövträd och ett mikroklimat med konstant hög och jämn luftfuktighet. Grynig filtlav är typisk art för </w:t>
      </w:r>
      <w:r>
        <w:rPr>
          <w:i/>
        </w:rPr>
        <w:t>9010 Taiga, 9020 Nordlig ädellövskog, 9110 Näringsfattig bokskog, 9130 Näringsrik bokskog, 9160 Näringsrik ekskog, 9180 Ädellövskog i branter,</w:t>
      </w:r>
      <w:r>
        <w:t xml:space="preserve"> </w:t>
      </w:r>
      <w:r>
        <w:rPr>
          <w:i/>
        </w:rPr>
        <w:t>9190 Näringsfattig ekskog</w:t>
      </w:r>
      <w:r>
        <w:t xml:space="preserve"> och </w:t>
      </w:r>
      <w:r>
        <w:rPr>
          <w:i/>
        </w:rPr>
        <w:t>9070 Trädklädd betesmark</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Sotlav</w:t>
      </w:r>
      <w:r>
        <w:t xml:space="preserve"> är överallt en mycket bra signalart och visar alltid på skogsmiljöer med höga naturvärden. Den indikerar långvarig förekomst av gamla eller döda träd. På lavens växtlokaler finns vanligen många andra ovanliga arter. Sotlav är typisk art för </w:t>
      </w:r>
      <w:r>
        <w:rPr>
          <w:i/>
        </w:rPr>
        <w:t xml:space="preserve">9010 Taiga </w:t>
      </w:r>
      <w:r>
        <w:t>och</w:t>
      </w:r>
      <w:r>
        <w:rPr>
          <w:i/>
        </w:rPr>
        <w:t xml:space="preserve"> 9070 Trädklädd betesmark</w:t>
      </w:r>
      <w:r>
        <w:t xml:space="preserve"> (Nitare &amp; Skogsstyrelsen, 2019; SLU Artdatabanken, 2025).</w:t>
      </w:r>
    </w:p>
    <w:p>
      <w:r>
        <w:rPr>
          <w:b/>
        </w:rPr>
        <w:t>Nattskärra (§4)</w:t>
      </w:r>
      <w:r>
        <w:t xml:space="preserve"> hör i ett historiskt perspektiv hemma i utmarkernas glesa, betade skogar, på ljunghedar och brandfält, tallmoar och i anslutning till torra naturbetesmarker i gränsen mot skogen. Numera påträffas arten i första hand i glesa tallskogar på hällmarker, sandfält och kring högmossar. Uppträder ofta i anslutning till hyggen. Hemområdet för häckande nattskärror är enligt brittiska studier 50–200 hektar, men det förekommer att nattskärror flyger över 5 kilometer för att födosöka i särskilt insektsrika miljöer. Nattskärra är fridlyst enligt 4§ artskyddsförordningen, omfattas av bilaga 1 EU:s fågeldirektiv och är typisk art för </w:t>
      </w:r>
      <w:r>
        <w:rPr>
          <w:i/>
        </w:rPr>
        <w:t>9010 Taiga</w:t>
      </w:r>
      <w:r>
        <w:t xml:space="preserve"> (Skogsstyrelsen, 2016;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14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