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22860-2026 i Vaggeryds kommun</w:t>
      </w:r>
    </w:p>
    <w:p>
      <w:r>
        <w:t>Denna tillsynsbegäran behandlar höga naturvärden i avverkningsanmälan A 22860-2026 i Vaggeryds kommun som inkom 2026-05-18 och omfattar 1,6 ha.</w:t>
      </w:r>
    </w:p>
    <w:p>
      <w:pPr>
        <w:pStyle w:val="Caption"/>
      </w:pPr>
      <w:r>
        <w:drawing>
          <wp:inline xmlns:a="http://schemas.openxmlformats.org/drawingml/2006/main" xmlns:pic="http://schemas.openxmlformats.org/drawingml/2006/picture">
            <wp:extent cx="5486400" cy="4864541"/>
            <wp:docPr id="1" name="Picture 1"/>
            <wp:cNvGraphicFramePr>
              <a:graphicFrameLocks noChangeAspect="1"/>
            </wp:cNvGraphicFramePr>
            <a:graphic>
              <a:graphicData uri="http://schemas.openxmlformats.org/drawingml/2006/picture">
                <pic:pic>
                  <pic:nvPicPr>
                    <pic:cNvPr id="0" name="A 22860-2026 karta.png"/>
                    <pic:cNvPicPr/>
                  </pic:nvPicPr>
                  <pic:blipFill>
                    <a:blip r:embed="rId16"/>
                    <a:stretch>
                      <a:fillRect/>
                    </a:stretch>
                  </pic:blipFill>
                  <pic:spPr>
                    <a:xfrm>
                      <a:off x="0" y="0"/>
                      <a:ext cx="5486400" cy="4864541"/>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6376920, E 453137 i SWEREF 99 TM.</w:t>
      </w:r>
    </w:p>
    <w:p>
      <w:r>
        <w:t>Inom 25 meter från avverkningsanmälan finns fynd av 62 naturvårdsarter, varav 36 är rödlistade, 61 är fridlysta och 7 är typiska (T): backsvala (EN, §4), brun glada (EN, §4), storspov (EN, §4), blå kärrhök (VU, §4), brushane (VU, §4), gråtrut (VU, §4), grönfink (VU, §4), myrspov (VU, §4), pilgrimsfalk (VU, §4), småfläckig sumphöna (VU, §4), stare (VU, §4), tornseglare (VU, §4), bivråk (NT, §4), björktrast (NT, §4), bläsand (NT, §4), blåhake (NT, §4), drillsnäppa (NT, §4), duvhök (NT, §4), enkelbeckasin (NT, §4), entita (NT, T, §4), järnsparv (NT, §4), kricka (NT, §4), kungsörn (NT, §4), ladusvala (NT, §4), motaggsvamp (NT, T), nötkråka (NT, T, §4), rödvingetrast (NT, §4), rörsångare (NT, §4), silltrut (NT, §4), skrattmås (NT, §4), skräntärna (NT, §4), sädesärla (NT, §4), talltita (NT, §4), turkduva (NT, §4), vinterhämpling (NT, §4), ägretthäger (NT, §4), bergfink (T, §4), spillkråka (T, §4), stenfalk (T, §4), tjäder (T, §4), bred kärrtrollslända (§4a), buskskvätta (§4), fiskgjuse (§4), fiskmås (§4), fjällvråk (§4), grönsiska (§4), havsörn (§4), kråka (§4), kungsfågel (§4), orre (§4), röd glada (§4), salskrake (§4), skogsduva (§4), smålom (§4), svartvit flugsnappare (§4), sävsparv (§4), sångsvan (§4), trana (§4), törnskata (§4), utter (§4a), ärtsångare (§4) och skogsödla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Brun glada (EN, §4)</w:t>
      </w:r>
      <w:r>
        <w:t xml:space="preserve"> är rödlistad som starkt hotad (EN) och upptagen i bilaga 1 EU:s fågeldirektiv. Den häckar i skogs- och odlingslandskap, både i större skogsområden och små dungar. Boet läggs ofta högt i ett träd, i södra Sverige oftast i ett lövträd, i norr vanligen i en tall eller gran. Det svenska beståndet är mycket litet och kan därmed försvinna av slumpmässiga faktorer som enstaka dåliga häckningssäsonger eller dödlighet under flyttning och övervintring. Kända häcklokaler måste uppmärksammas vid skogsbruksåtgärder och all påverkan på boplatsen och dess omgivningar undvikas. Spara samtliga träd med större risbon, även sådana där boet ser obebott ut och lämna en tillräckligt bred skyddszon kring boplatser vid avverkning eller andra skogliga åtgärder. Bredden beror på platsen, men som tumregel ska den ska vara så bred att boplatsen inte är väsentligt mer exponerad för insyn än tidigare (SLU Artdatabanken, 2024; Skogsstyrelsen, 2016).</w:t>
      </w:r>
    </w:p>
    <w:p>
      <w:r>
        <w:rPr>
          <w:b/>
        </w:rPr>
        <w:t>Pilgrimsfalk (VU, §4)</w:t>
      </w:r>
      <w:r>
        <w:t xml:space="preserve"> är rödlistad som sårbar och är upptagen i bilaga 1 EU:s fågeldirektiv. Den har minskat med 17.5 (15–20) % under de senaste 18 åren och minskningstakten överstiger gränsvärdet för sårbar (VU). Pilgrimsfalken häckar i branta klippväggar, där boet läggs på en öppen, svåråtkomlig klipphylla. Många av de bebodda klippstupen gränsar till skogsmark. Markhäckningar förekommer relativt frekvent på stora, blöta myrar i Norrbottens län. Tidigare var häckningar i risbon, framför allt i fiskgjusebon, förhållandevis vanligt men förekommer numera sällan. Lämna en skyddszon med träd mot häckningsplatsen (klippbranten), så att häckningsmiljön behålls oförändrad. Eventuell skog i själva rasbranten lämnas orörd. Vid häckning i risbon, avstå från avverkning inom 100 meter från boet.  Hänsyn bör tas även till äldre, dokumenterade häckningsplatser även om de för tillfället inte är i bruk (SLU Artdatabanken, 2026; Skogsstyrelsen, 2016).</w:t>
      </w:r>
    </w:p>
    <w:p>
      <w:r>
        <w:rPr>
          <w:b/>
        </w:rPr>
        <w:t>Tornseglare (VU, §4)</w:t>
      </w:r>
      <w:r>
        <w:t xml:space="preserve"> har minskat med 40 (30–50) % under de senaste 24 åren och minskningstakten överstiger gränsvärdet för sårbar (VU). Tornseglaren är en typisk hålhäckare som numera huvudsakligen är knuten till mänsklig bebyggelse. En mindre andel av beståndet häckar i mer ursprungliga miljöer, i första hand i gamla hackspetthål (främst spillkråkehål) och andra typer av håligheter i träd, men även i klippskrevor. I de inre delarna av de två nordligaste länen (Lappland) häckar den huvudsakligen i ren skogsmiljö, framförallt i gammal gles tallskog. För de tornseglare som häckar i träd i Norrlands inland har situationen sannolikt försämrats till följd av minskad mängd hålträd och av stora arealer tät produktionsskog. När arten förekommer i sluten skog handlar det ofta om skyddsvärda skogsmiljöer med äldre tallskog av naturskogskaraktär (SLU Artdatabanken, 2026; Skogsstyrelsen, 2016).</w:t>
      </w:r>
    </w:p>
    <w:p>
      <w:r>
        <w:rPr>
          <w:b/>
        </w:rPr>
        <w:t>Bivråk (NT, §4)</w:t>
      </w:r>
      <w:r>
        <w:t xml:space="preserve"> ingår i bilaga 1 i EU:s fågeldirektiv och är prioriterad art i Skogsvårdslagen. Den har minskat med 2/3-delar sedan 1970-talet och under de senaste 30 åren har minskningstakten uppgått till 22.5 (15–30) %. Arten häckar i tät, ogallrad skog på högproduktiv mark, i södra Sverige främst i lövskogsrika trakter, i Norrland till stor del i högproduktiv granskog, Födan består av getinglarver och -puppor, men även av fågelungar och groddjur. Bivråken påverkas negativt av avverkning och omföring av lövträdsrika marker till täta produktionsskogar av barrträd samt av den allmänna "</w:t>
      </w:r>
      <w:r>
        <w:rPr>
          <w:i/>
        </w:rPr>
        <w:t>förtorkningen</w:t>
      </w:r>
      <w:r>
        <w:t>" av landskapet genom täckdikning, dikning av skogsmark etc. Bevara lövskogar och öka andelen löv i barrskog. Gallra inte i onödan och inte alls i sumpskog. Dika inte ut vattensamlingar, sumpskogar, alkärr eller andra våta miljöer. Kring alla boplatser ska det lämnas en skyddszon vid avverkning eller andra skogliga åtgärder. Som tumregel ska skyddszonen vara så bred att boet inte syns väl från öppen mark. Minskningstakten för den svenska populationen bedöms vara nära gränsvärdet för Sårbar (VU) (SLU Artdatabanken, 2026; Skogsstyrelsen, 2016).</w:t>
      </w:r>
    </w:p>
    <w:p>
      <w:r>
        <w:rPr>
          <w:b/>
        </w:rPr>
        <w:t>Duvhök (NT, §4)</w:t>
      </w:r>
      <w:r>
        <w:t>, som är rödlistad som nära hotad, har minskat med 15 (0–30) % under de senaste 18 åren och minskningstakten för den svenska populationen bedöms vara nära gränsvärdet för sårbar (VU). Arten är starkt bunden till skogsmark och jagar helst inne i äldre skog. Den missgynnas av stora hyggen och täta planteringar. De gamla fåglarna är i huvudsak stationära i sina revir och boet läggs inne i tät, oftast äldre skog. Kantzoner mot öppen mark undviks och duvhöken, som är beroende av insynsskyddade boplatser, är därför känsligare för slutavverkning än flera andra rovfåglar. Friställande av boträd eller avverkning så att boplatsen blir exponerad mot öppen mark, medför att platsen överges. Eftersom duvhöken helst häckar i gammal skog, är dess häckningsplatser i princip alltid mer eller mindre hotade av skogsbruk och avverkningar (SLU Artdatabanken, 2026; Skogsstyrelsen 2016).</w:t>
      </w:r>
    </w:p>
    <w:p>
      <w:r>
        <w:rPr>
          <w:b/>
        </w:rPr>
        <w:t>Entita (NT, §4)</w:t>
      </w:r>
      <w:r>
        <w:t xml:space="preserve">, rödlistad som nära hotad och prioriterad art i Skogsvårdslagen, har häckningsrevir i anmälan. Minskningstakten innevarande 10-årsperiod beräknas till 20 (10–30) % och bedöms vara nära gränsvärdet för Sårbar (VU).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Entita är typisk art för </w:t>
      </w:r>
      <w:r>
        <w:rPr>
          <w:i/>
        </w:rPr>
        <w:t>9080 Lövsumpskog</w:t>
      </w:r>
      <w:r>
        <w:t xml:space="preserve"> (Skogsstyrelsen, 2016, SLU Artdatabanken, 2021).</w:t>
      </w:r>
    </w:p>
    <w:p>
      <w:r>
        <w:rPr>
          <w:b/>
        </w:rPr>
        <w:t>Kungsörn (NT, §4)</w:t>
      </w:r>
      <w:r>
        <w:t xml:space="preserve"> är rödlistad som nära hotad och upptagen i bilaga 1 EU:s fågeldirektiv. Boträd får inte avverkas och skyddande skog bör vid avverkning alltid sparas runt örnbon, även runt s.k. alternativbon. Som utgångspunkt vid bedömning av hur mycket skog som skall lämnas runt boträdet bör 200 meters radie gälla. Under häckningsperioden (1 januari till 31 augusti) är kungsörnen störningskänslig och inga skogsbruksåtgärder eller andra störande verksamheter får förekomma närmare än 500 m från boet under den tiden. Arealen på det sparade skogspartiet kan uppgå till åtskilliga tiotals hektar beroende på t.ex. topografi, vindexponering och insyn. Det är även värdefullt om sammanhängande skog kan lämnas i någon riktning. Avverkning av gammelskog i bergsbranter och annan svår terräng måste undvikas (SLU Artdatabanken, 2024; Skogsstyrelsen, 2016).</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Nötkråka (NT, §4)</w:t>
      </w:r>
      <w:r>
        <w:t xml:space="preserve"> är uppdelad på de två underarterna tjocknäbbad nötkråka (NT) som häckar i mossrik granskog med närbelägna hasselbestånd i södra och mellersta Sverige samt smalnäbbad nötkråka som är specialiserad på sibirisk cembratall i norra Sverige. Minskningstakten, som framför allt rör den tjocknäbbade nötkråkan (NT), har uppgått till 25 (10–40) % under de senaste 15 åren och bedöms vara nära gränsvärdet för sårbar (VU). Minskningen avser förekomstarea, kvalitén på artens habitat (minskad förekomst av hassel och försämrade häckningsmiljöer i barrskog) och antalet reproduktiva individer. Reviren har en storlek på 12–15 hektar och den häckar i mossrik äldre granskog med närbelägna hasselbestånd inom 5–6 km avstånd från häckningsområdet.</w:t>
      </w:r>
    </w:p>
    <w:p>
      <w:r>
        <w:t xml:space="preserve">Avverkning, gallring och röjning av såväl granskog i häckningsreviret som hassel i födosöksområdena missgynnar nötkråkan kraftigt och det kan ta åtskilliga decennier innan skogen åter blir lämplig för häckning. För att säkerställa existensen för den tjocknäbbade nötkråkan bör de förekomster av hassel, som nu visat sig tillräckliga för nötkråkan, bevaras. Hasselbuskar bör inte huggas ned i hagmarker eller intill åkrar där nötkråkor födosöker, eftersom dessa fristående buskar ger betydligt mer nötter än hasselbuskar som står i skog. Likaså är bevarande av nuvarande karaktär hos sådan granskog, som nu genom angränsande hasselförekomst visat sig kunna hysa en nötkråkestam, nödvändig. Nötkråka är typisk art för </w:t>
      </w:r>
      <w:r>
        <w:rPr>
          <w:i/>
        </w:rPr>
        <w:t>9010 Taiga</w:t>
      </w:r>
      <w:r>
        <w:t xml:space="preserve"> (SLU Artdatabanken, 2026; Skogsstyrelsen, 2016).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Bergfink (§4)</w:t>
      </w:r>
      <w:r>
        <w:t xml:space="preserve"> häckar i barr- och blandskog samt i fjällbjörkskog. Den förekommer i Norrland, västra Dalarna och norra Värmland samt sparsamt till sällsynt vidare söderut till mellersta Värmland, norra Västmanland och södra Gästrikland. Bergfink är typisk art för </w:t>
      </w:r>
      <w:r>
        <w:rPr>
          <w:i/>
        </w:rPr>
        <w:t>9040 Fjällbjörkskog</w:t>
      </w:r>
      <w:r>
        <w:t xml:space="preserv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Stenfalk (§4)</w:t>
      </w:r>
      <w:r>
        <w:t xml:space="preserve"> är typisk art för </w:t>
      </w:r>
      <w:r>
        <w:rPr>
          <w:i/>
        </w:rPr>
        <w:t>9040 Fjällbjörkskog</w:t>
      </w:r>
      <w:r>
        <w:t xml:space="preserve"> och omfattas av bilaga 1 EU:s fågeldirektiv. Den förekommer främst i fjällen men häckar även i gles barrskog i Norrlands inland. Arten lever i stor utsträckning på småfåglar och vadare som den fångar i öppna miljöer. I skogslandet påträffas därför en majoritet av boplatserna i anslutning till större myrar och hyggen. Stenfalken häckar i gles skog, ofta i tall eller en björk belägen så att falkarna har bra utsikt från boet. På Öland häckar den i kråkbon i mer eller mindre solitära granar ute på alvaret. Hänsyn ska främst tas mot boplatser (bon som används och alternativbon) och under perioden 1 april−31 juli ska inga skogliga åtgärder ske inom 200 meter från bebodda bon</w:t>
      </w:r>
      <w:r>
        <w:rPr>
          <w:i/>
        </w:rPr>
        <w:t xml:space="preserve"> </w:t>
      </w:r>
      <w:r>
        <w:t>(SLU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r>
        <w:rPr>
          <w:b/>
        </w:rPr>
        <w:t>Fiskgjuse (§4)</w:t>
      </w:r>
      <w:r>
        <w:t xml:space="preserve"> är fridlyst enligt 4§ artskyddsförordningen och upptagen i bilaga 1 EU:s fågeldirektiv. Den bygger vanligen sitt stora risbo i toppen av en plattkronad, kraftig tall (&gt;90%) med utsikt över omgivningen. Skogsavverkningar utan hänsyn till bevarandet av fiskgjusens boträd och häckningsbiotop utgör en fara genom att tillgången på lämpliga träd minskar. Lämna en skyddszon kring boplatser vid avverkning eller gallring. Boträdets placering styr behovet av skyddszon vilket måste bedömas från fall till fall, men skyddszonen bör vara tillräckligt bred för att behålla skydd mot insyn, erbjuda lämpliga sittplatser och förhindra att boträdet blåser ner. Avstå från skogsbruksåtgärder i hänsynskrävande miljöer, som på uddar eller öar med äldre skog eller hällmarkstallskog där det häckar fiskgjuse. Gör naturvårdsavsättningar i äldre skog i lämpliga områden för fiskgjuse, t.ex. på uddar och i hällmarksområden (SLU Artdatabanken, 2024; Skogsstyrelsen, 2016).</w:t>
      </w:r>
    </w:p>
    <w:p>
      <w:r>
        <w:rPr>
          <w:b/>
        </w:rPr>
        <w:t>Havsörn (§4)</w:t>
      </w:r>
      <w:r>
        <w:t xml:space="preserve"> omfattas av bilaga 1 EU:s fågeldirektiv. Skyddandet av befintliga bon måste upprätthållas och i samband med skogsavverkning bör en skyddszon på minst 100 meters radie runt boplatsen lämnas intakt. Under häckningsperioden (1 januari till 15 augusti) är havsörnen störningskänslig och inga skogsbruksåtgärder eller annan störande verksamhet får förekomma närmare än 500 m från boet under den tiden. För att åstadkomma en succession av lämpliga boträd för kommande generationer av havsörnar behöver ett betydligt större antal s.k. evighetsträd sparas vid avverkningar redan idag (SLU Artdatabanken, 2026; Skogsstyrelsen, 2016).</w:t>
      </w:r>
    </w:p>
    <w:p>
      <w:r>
        <w:rPr>
          <w:b/>
        </w:rPr>
        <w:t>Röd glada (§4)</w:t>
      </w:r>
      <w:r>
        <w:t xml:space="preserve"> är fridlyst enligt 4§ artskyddsförordningen och upptagen i bilaga 1 EU:s fågeldirektiv. Den häckar gärna i omväxlande landskap med mosaik av öppna marker och skogar. Tidigare studier har visat en förkärlek för att häcka nära sjöar, och häckningsframgången var också högre hos par som häckade nära vatten. Boet läggs i träd, ofta högt och vanligen nära skogsbryn. Missgynnas av skogliga åtgärder som lämnar boet allt för exponerat, främst genom för smala skyddszoner och för omfattande gallring. Lämna en skyddszon kring boplatser vid avverkning eller andra skogliga åtgärder. Bredden på skyddszonen beror på platsen, men som tumregel ska den ska vara så bred att boplatsen inte är väsentligt mer exponerad för insyn än tidigare. Spara samtliga träd med större risbon, även sådana där boet ser obebott ut. Avstå att avverka äldre lövdominerade bestånd, främst i anslutning till öppen jordbruksmark (SLU Artdatabanken, 2024;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entita (NT, T, §4), motaggsvamp (NT, T), nötkråka (NT, T, §4), bergfink (T, §4), spillkråka (T, §4), stenfalk (T, §4)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Bivråk – ekologi samt krav på livsmiljön</w:t>
      </w:r>
    </w:p>
    <w:p>
      <w:r>
        <w:t>Bivråk (NT, §4) ingår i bilaga 1 i EU:s fågeldirektiv och är prioriterad art i Skogsvårdslagen. Den har minskat med 2/3-delar sedan 1970-talet och under de senaste 30 åren har minskningstakten uppgått till 22.5 (15–30) %. Minskningstakten för den svenska populationen bedöms vara nära gränsvärdet för Sårbar (VU) (SLU Artdatabanken, 2026).</w:t>
      </w:r>
    </w:p>
    <w:p>
      <w:r>
        <w:t>Arten häckar i tät, ogallrad skog på högproduktiv mark, i södra Sverige främst i lövskogsrika trakter, i Norrland till stor del i högproduktiv granskog, Födan består av getinglarver och -puppor, men även av fågelungar och groddjur. (SLU Artdatabanken, 2026).</w:t>
      </w:r>
    </w:p>
    <w:p>
      <w:r>
        <w:t>En trolig delförklaring till minskande bivråksstammar är att det i dagens skogs- och jordbruksbygder finns ett sämre utbud av insektsrika biotoper jämfört med förhållandena för 20–40 år sedan. Minskad insektsrikedom innebär förmodligen en lägre täthet av sociala getingsamhällen och därmed sämre förutsättningar för bivråkens häckning. En allmän "</w:t>
      </w:r>
      <w:r>
        <w:rPr>
          <w:i/>
        </w:rPr>
        <w:t>förtorkning</w:t>
      </w:r>
      <w:r>
        <w:t>" av landskapet (täckdikning, dikning av skogsmark etc.) liksom omföring av lövträdsrika marker till täta produktionsskogar av barrträd medför dessutom en försämrad förekomst av tättingar (trastar etc.) och grodor, vilket sannolikt påverkar bivråken negativt. (SLU Artdatabanken, 2026).</w:t>
      </w:r>
    </w:p>
    <w:p>
      <w:r>
        <w:t>Bevara lövskogar och öka andelen löv i barrskog. Gallra inte i onödan och inte alls i sumpskog. Dika inte ut vattensamlingar, sumpskogar, alkärr eller andra våta miljöer. Kring alla boplatser ska det lämnas en skyddszon vid avverkning eller andra skogliga åtgärder. Som tumregel ska skyddszonen vara så bred att boet inte syns väl från öppen mark (SLU Artdatabanken, 2026; Skogsstyrelsen, 2016).</w:t>
      </w:r>
    </w:p>
    <w:p>
      <w:pPr>
        <w:pStyle w:val="Heading2"/>
      </w:pPr>
      <w:r>
        <w:t>Referenser – bivråk</w:t>
      </w:r>
    </w:p>
    <w:p>
      <w:r>
        <w:t xml:space="preserve">Skogsstyrelsen, 2016. </w:t>
      </w:r>
      <w:r>
        <w:rPr>
          <w:i/>
        </w:rPr>
        <w:t>Vägledning för hänsyn till bivråk.</w:t>
      </w:r>
    </w:p>
    <w:p>
      <w:r>
        <w:t xml:space="preserve">SLU Artdatabanken, 2026. </w:t>
      </w:r>
      <w:r>
        <w:rPr>
          <w:i/>
        </w:rPr>
        <w:t xml:space="preserve">Artfaktablad. Naturvård – artfakta. </w:t>
      </w:r>
      <w:r>
        <w:t>SLU Artdatabanken, Uppsala</w:t>
      </w:r>
    </w:p>
    <w:p>
      <w:pPr>
        <w:pStyle w:val="Heading1"/>
      </w:pPr>
      <w:r>
        <w:t>Duvhök – ekologi samt krav på livsmiljön</w:t>
      </w:r>
    </w:p>
    <w:p>
      <w:r>
        <w:t>Duvhök (NT, §4) är rödlistad som nära hotad och fridlyst enligt 4§ artskyddsförordningen. Arten har minskat med 15 (0–30) % under de senaste 18 åren och minskningstakten för den svenska populationen bedöms vara nära gränsvärdet för sårbar (VU). Bedömningen baseras på direkt observation, ett för arten lämpligt abundansindex och minskad geografisk utbredning och/eller försämrad habitatkvalitet (allt yngre och tätare skogar vilket försvårar för boplacering samt missgynnar jaktmöjligheterna) (SLU Artdatabanken, 2026).</w:t>
      </w:r>
    </w:p>
    <w:p>
      <w:r>
        <w:t>Duvhöken är starkt bunden till skogsmark, såväl för häckning som födosök. Den påträffas oftast i större skogsområden med äldre skog, men kan ibland även häcka i dungar i områden dominerade av öppen mark. De gamla fåglarna är i huvudsak stationära i sina revir. Duvhöken jagar helst inne i äldre skog och missgynnas av stora hyggen och täta planteringar (Skogsstyrelsen, 2016).</w:t>
      </w:r>
    </w:p>
    <w:p>
      <w:r>
        <w:t>Boet läggs inne i tät, oftast äldre skog. Kantzoner mot öppen mark undviks och duvhöken är därför känsligare för slutavverkning än flera andra rovfåglar. Boträdet måste vara grovgrenigt och är oftast en äldre gran eller tall, i sydligaste Sverige är bok vanligt. Duvhöken är beroende av insynsskyddade boplatser. Friställande av boträd eller avverkning så att boplatsen är exponerad mot öppen mark, medför att platsen överges. Samma bo kan användas flera år i rad, men likt andra rovfåglar har den normalt ett eller flera alternativa bon (Skogsstyrelsen, 2016). Eftersom duvhöken helst häckar i gammal skog, är dess häckningsplatser i princip alltid mer eller mindre hotade av skogsbruk och avverkningar (SLU Artdatabanken, 2026).</w:t>
      </w:r>
    </w:p>
    <w:p>
      <w:r>
        <w:t>Den viktigaste begränsande faktorn för duvhökspopulationen i stort är födan och ett allvarligare problem är därför den av skogsbruket orsakade storskaliga omvandlingen och utarmningen av skogslandskapet, som kan påverka såväl duvhökens möjlighet att jaga som förekomsten av viktiga byten. Duvhökens jaktteknik gör den beroende av landskapets utformning och sammansättning och dess preferens för gammal skog tyder på att den är anpassad till att jaga i skog som är “lagom” tät. I öppnare biotoper, till exempel hyggen, kommer dess jaktteknik inte till sin rätt och i tätare biotoper, t.ex. ungskogar, har den relativt stora duvhöken svårt att manövrera (SLU Artdatabanken, 2026).</w:t>
      </w:r>
    </w:p>
    <w:p>
      <w:pPr>
        <w:pStyle w:val="Heading2"/>
      </w:pPr>
      <w:r>
        <w:t>Referenser – duvhök</w:t>
      </w:r>
    </w:p>
    <w:p>
      <w:r>
        <w:t xml:space="preserve">Skogsstyrelsen, 2016. </w:t>
      </w:r>
      <w:r>
        <w:rPr>
          <w:i/>
        </w:rPr>
        <w:t xml:space="preserve">Duvhök – Vägledning för hänsyn till fåglar. </w:t>
      </w:r>
      <w:r>
        <w:t>https://www.skogsstyrelsen.se/globalassets/lag-och-tillsyn/artskydd/vagledningar-for-hansyn-till-faglar/duvhok-vagledning-hansyn2.pdf</w:t>
      </w:r>
    </w:p>
    <w:p>
      <w:r>
        <w:t xml:space="preserve">SLU Artdatabanken, 2026. </w:t>
      </w:r>
      <w:r>
        <w:rPr>
          <w:i/>
        </w:rPr>
        <w:t xml:space="preserve">Artfaktablad. Naturvård – artfakta. </w:t>
      </w:r>
      <w:r>
        <w:t>SLU Artdatabanken, Uppsala</w:t>
      </w:r>
    </w:p>
    <w:p>
      <w:pPr>
        <w:pStyle w:val="Heading1"/>
      </w:pPr>
      <w:r>
        <w:t>Entita – ekologi samt krav på livsmiljön</w:t>
      </w:r>
    </w:p>
    <w:p>
      <w:r>
        <w:t xml:space="preserve">Entita (NT, §4) är rödlistad som nära hotad, fridlyst och prioriterad art enligt Skogsvårdslagen. Den omfattas av EU:s fågeldirektiv och är typisk art för </w:t>
      </w:r>
      <w:r>
        <w:rPr>
          <w:i/>
        </w:rPr>
        <w:t>9080 Lövsumpskog</w:t>
      </w:r>
      <w:r>
        <w:t>.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p>
      <w:pPr>
        <w:pStyle w:val="Heading1"/>
      </w:pPr>
      <w:r>
        <w:t>Kungsörn – ekologi samt krav på livsmiljön</w:t>
      </w:r>
    </w:p>
    <w:p>
      <w:r>
        <w:t>Kungsörn är rödlistad som nära hotad (NT) och fridlyst enligt 4§ Artskyddsförordningen samt upptagen i bilaga 1 EU:s fågeldirektiv. Kungsörnen häckar i skogs- och fjällområden där den bygger stora risbon i grova träd eller på klipphyllor. Risboet är ca 1,5 m i diameter och i extremfall upp till 5 m högt, vanligtvis beläget i en kraftig tall eller i ett klippstup, ofta med utsikt över terrängen. Varje par har ofta flera alternativa boplatser inom sitt revir och dessa kan ligga åtskilliga kilometer från varandra (upp till 6,5 km konstaterat i Norge). Bon i träd placeras oftast på 2/3 höjd, mera sällan i eller nära toppen (SLU Artdatabanken, 2024).</w:t>
      </w:r>
    </w:p>
    <w:p>
      <w:r>
        <w:t>I marker med medelgod bytestillgång är avståndet mellan etablerade par under naturliga förhållanden i genomsnitt cirka 10 km. I områden med gott om byten, som t.ex. i Skåne och Gotland men lokalt även i Norrland, kan avstånden vara betydligt kortare. Till exempel på Gotland har samtidiga häckningar skett i bon belägna endast lite drygt tre kilometer från varandra. I fattiga norrlandsskogar är medelavståndet mellan paren drygt 15 km. (SLU Artdatabanken, 2024).</w:t>
      </w:r>
    </w:p>
    <w:p>
      <w:r>
        <w:t>Boträd får inte avverkas och skyddande skog bör vid avverkning alltid sparas runt örnbon, även runt s.k. alternativbon. Som utgångspunkt vid bedömning av hur mycket skog som skall lämnas runt boträdet bör 200 meters radie gälla. Under häckningsperioden (1 januari till 31 augusti) är kungsörnen störningskänslig och inga skogsbruksåtgärder eller annan störande berksamhet får förekomma närmare än 500 m från boet under den tiden. Arealen på det sparade skogspartiet kan uppgå till åtskilliga tiotals hektar beroende på t.ex. topografi, vindexponering och insyn. Det är även värdefullt om sammanhängande skog kan lämnas i någon riktning. Avverkning av gammelskog i bergsbranter och annan svår terräng måste undvikas (SLU Artdatabanken, 2024; Skogsstyrelsen, 2016).</w:t>
      </w:r>
    </w:p>
    <w:p>
      <w:r>
        <w:t>Kungsörnen har på lång sikt en något osäker framtid på grund av den genomhuggning och kalavverkning av äldre, urskogsartade bestånd som fortfarande sker långt upp mot fjällområdena. Därvid kan brist på lämpliga boträd uppstå, likaså försämrad bytestillgång. Boträden, tallar i minst 95 % av fallen, bör vara kraftiga och i Norrland helst minst 200 år gamla. Medelåldern på 97 friska träd var 311 år vid en studie i Norrland 1975–1980. På Gotland har medelåldern på boträden konstaterats vara 145 år. Den gammelskog som i dagens läge finns kvar i Norrland hittas framför allt i svåravverkade, branta sluttningar i anslutning till berg, på blockrika berg, i eller i anslutning till raviner och sprickdalar eller på myrholmar. Eftersom ungefär halva den svenska kungsörnsstammen är beroende av lämpliga boträd skulle en mer omfattande avverkning i ovan nämnda terrängtyper troligen vara starkt negativ för artens fortbestånd. (SLU Artdatabanken, 2024).</w:t>
      </w:r>
    </w:p>
    <w:p>
      <w:pPr>
        <w:pStyle w:val="Heading2"/>
      </w:pPr>
      <w:r>
        <w:t>Referenser – kungsörn</w:t>
      </w:r>
    </w:p>
    <w:p>
      <w:r>
        <w:t xml:space="preserve">Skogsstyrelsen, 2016. </w:t>
      </w:r>
      <w:r>
        <w:rPr>
          <w:i/>
        </w:rPr>
        <w:t xml:space="preserve">Vägledning för hänsyn till kungsörn. </w:t>
      </w:r>
      <w:r>
        <w:t>Vägledningar och kunskapsstöd artskydd – Skogsstyrelsen</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pPr>
        <w:pStyle w:val="Heading1"/>
      </w:pPr>
      <w:r>
        <w:t>Havsörn – ekologi samt krav på livsmiljön</w:t>
      </w:r>
    </w:p>
    <w:p>
      <w:r>
        <w:t>Havsörn är fridlyst enligt 4§ artskyddsförordningen och upptagen i bilaga 1 EU:s fågeldirektiv. Havsörnen häckar i anslutning till skärgårdar, kuster, sjöar och vattendrag, ofta på öar men ibland även ganska långt från vatten. I svenska kustområden varierar medelavståndet mellan etablerade par från ca 13 km till under 5 km, mest beroende på bytestillgänglighet; minsta avstånd mellan samtidigt bebodda bon i vårt land är ca 1,5 km. Ofta har ett havsörnspar flera olika bon som kan användas omväxlande (SLU Artdatabanken, 2026; Skogsstyrelsen, 2016).</w:t>
      </w:r>
    </w:p>
    <w:p>
      <w:r>
        <w:t>Boet byggs nästan uteslutande i träd, oftast tallar. Häckar sällsynt även på klipphyllor eller direkt på marken. Boet placeras oftast i trädets övre del och kan bli mycket stort, vilket ställer stora krav på boträdet. Trädet måste ha en stark, bärande krona med lämpliga grova grenar, vilket utvecklas först när trädet har uppnått en hög ålder. Genomsnittsåldern hos botallar vid svenska Ostkusten under 1970- och 80-talet var 160 år (från 100 till 350 år) men har sannolikt redan nu sjunkit betydligt genom en brist på gamla träd. Frekvensen nybyggda bon i för svaga träd där boet rasat under häckningen har ökat markant under senare år i Syd- och Mellansverige. I Lappland var boträden i snitt 350 år (200 – ca 600 år). Mot bakgrund av de lägsta uppmätta åldrarna hos dessa fungerande boträd utgör den sjunkande omloppstiden vid slutavverkningar i Sverige ett hot – det kommer inte att räcka med att spara överståndare vid slutavverkningar av kanske högst 70-åriga bestånd i framtiden (SLU Artdatabanken, 2026; Skogsstyrelsen, 2016).</w:t>
      </w:r>
    </w:p>
    <w:p>
      <w:r>
        <w:t>Skyddandet av befintliga bon måste upprätthållas och i samband med skogsavverkning ska befintliga boträd sparas med en lämpligt avgränsad skyddszon runtom. Vid slutavverkning bör en skyddszon på 100 meters radie runt boplatsen lämnas intakt. Under häckningsperioden (1 januari till 15 augusti) är havsörnen störningskänslig och inga skogsbruksåtgärder eller annan störande verksamhet får förekomma närmare än 500 m från boet under den tiden. (SLU Artdatabanken, 2026; Skogsstyrelsen, 2016).</w:t>
      </w:r>
    </w:p>
    <w:p>
      <w:r>
        <w:t>För att garantera möjligheter till häckning även i framtiden bör ett nätverk av häckningsområden skyddas inom artens hela naturliga utbredningsområde i landet. Havsörnen är upptagen bland de arter som enligt fågeldirektivet/habitatdirektivet har ett sådant gemenskapsintresse inom EU att särskilda skydds- eller bevarandeområden behöver utses (Miljöbalken, Bilagan till Artskyddsförordningen 1998:179, reviderad 2001). Arten är beroende av grova träd för placering av sina stora risbon och detta kan bli en begränsande faktor kommande 30 år (tre generationer). För att åstadkomma en succession av lämpliga boträd för kommande generationer av havsörnar behöver ett betydligt större antal s.k. evighetsträd sparas vid avverkningar redan idag. (SLU Artdatabanken, 2026).</w:t>
      </w:r>
    </w:p>
    <w:p>
      <w:pPr>
        <w:pStyle w:val="Heading2"/>
      </w:pPr>
      <w:r>
        <w:t>Referenser – havsörn</w:t>
      </w:r>
    </w:p>
    <w:p>
      <w:r>
        <w:t xml:space="preserve">Skogsstyrelsen, 2016. </w:t>
      </w:r>
      <w:r>
        <w:rPr>
          <w:i/>
        </w:rPr>
        <w:t xml:space="preserve">Vägledning för hänsyn till havsörn.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