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63 naturvårdsarter, varav 36 är rödlistade, 62 är fridlysta och 8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gråsiska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gråsiska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