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272-2023 i Vaggeryds kommun</w:t>
      </w:r>
    </w:p>
    <w:p>
      <w:r>
        <w:t>Denna tillsynsbegäran behandlar höga naturvärden i samrådsanmälan S 272-2023 i Vaggeryds kommun som inkom 2023-01-29 och omfattar 153,3 ha.</w:t>
      </w:r>
    </w:p>
    <w:p>
      <w:pPr>
        <w:pStyle w:val="Caption"/>
      </w:pPr>
      <w:r>
        <w:drawing>
          <wp:inline xmlns:a="http://schemas.openxmlformats.org/drawingml/2006/main" xmlns:pic="http://schemas.openxmlformats.org/drawingml/2006/picture">
            <wp:extent cx="5486400" cy="4717915"/>
            <wp:docPr id="1" name="Picture 1"/>
            <wp:cNvGraphicFramePr>
              <a:graphicFrameLocks noChangeAspect="1"/>
            </wp:cNvGraphicFramePr>
            <a:graphic>
              <a:graphicData uri="http://schemas.openxmlformats.org/drawingml/2006/picture">
                <pic:pic>
                  <pic:nvPicPr>
                    <pic:cNvPr id="0" name="S 272-2023 karta.png"/>
                    <pic:cNvPicPr/>
                  </pic:nvPicPr>
                  <pic:blipFill>
                    <a:blip r:embed="rId16"/>
                    <a:stretch>
                      <a:fillRect/>
                    </a:stretch>
                  </pic:blipFill>
                  <pic:spPr>
                    <a:xfrm>
                      <a:off x="0" y="0"/>
                      <a:ext cx="5486400" cy="4717915"/>
                    </a:xfrm>
                    <a:prstGeom prst="rect"/>
                  </pic:spPr>
                </pic:pic>
              </a:graphicData>
            </a:graphic>
          </wp:inline>
        </w:drawing>
      </w:r>
    </w:p>
    <w:p>
      <w:pPr>
        <w:pStyle w:val="Caption"/>
        <w:spacing w:after="240"/>
      </w:pPr>
      <w:r>
        <w:t>Figur 1. Fyndplatser för naturvårdsarter i och inom 24 meter från samrådsanmälan. Markörer utan svart kant är placerade på fyndplatsen. Markörer med svart kant är placerade vid sidan av fyndplatsen och har ett svart streck som visar fyndplatsens exakta position. Kartans mittpunktskoordinat är N 6377215, E 458346 i SWEREF 99 TM.</w:t>
      </w:r>
    </w:p>
    <w:p>
      <w:r>
        <w:t>I och inom 24 meter från samrådsanmälan finns fynd av 16 naturvårdsarter, varav 7 är rödlistade, 4 är fridlysta, 5 är typiska (T) och 6 är signalarter (S): Agaricochara latissima (NT), entita (NT, T, §4), grönhjon (NT), kattfotslav (NT, T), kolsvart trädbasbagge (NT), mörk kolflarnlav (NT), skogshare (NT), granbarkgnagare (S, T), robust tickgnagare (S), stor revmossa (S), Thymalus limbatus (S), vanlig flatbagge (S, T), västlig hakmossa (S), blåsippa (T, §9), hasselmus (§4a)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i/>
        </w:rPr>
        <w:t>Agaricochara latissima</w:t>
      </w:r>
      <w:r>
        <w:rPr>
          <w:b/>
        </w:rPr>
        <w:t xml:space="preserve"> (NT) </w:t>
      </w:r>
      <w:r>
        <w:t>är en kortvinge som lever på tickor och andra vedlevande svampar på lövträd, främst på döda, mer eller mindre nedbrutna stubbar och lågor i skuggiga och fuktiga miljöer. Den är i Sverige oftast funnen på björk och asp, men även på andra lövträd, t.ex. lönn och sälg. Arten missgynnas av substratbrist p.g.a. en minskad mängd död ved av lövträd. Störst hot är avverkning av lövträdsbestånd. Bevara lövträdsbestånd med riklig tillgång på död ved (SLU Artdatabanken, 2025).</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Grönhjon (NT)</w:t>
      </w:r>
      <w:r>
        <w:t xml:space="preserve"> är en skalbagge vars larvutveckling framför allt sker i grovbarkiga grenar (minst 3–5 cm tjocka) på gamla granar, men även i klena stamdelar av barrträd, främst gran, i mindre omfattning tall. Arten är knuten till gamla och gärna glesa granskogar där det finns långsamväxande träd med välutvecklat grenverk. Larverna lever i den skrovliga barken och gör en flera cm bred platt gång som mest liknar en rund håla och är tydligt nedsänkt i vedytan. I kanten av eller mitt på gången finner man en 5 mm bred, oval gång in i grenens ved där arten gör sin puppkammare. Insekten kläcks sedan ut genom samma gång. Främsta hotet är att gamla granar med grova grenar försvinner genom skogsbruk. Äldre granbestånd bör sparas så långt det är möjligt, och inte gallras eller slutavverkas (SLU Artdatabanken, 2024).</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 xml:space="preserve">Kolsvart trädbasbagge (NT) </w:t>
      </w:r>
      <w:r>
        <w:t>är en skalbagge vars larvutveckling sker under torr, svampangripen bark på brända stammar av lövträd och barrträd, i Sverige främst branddödad björk med skiktdyna (</w:t>
      </w:r>
      <w:r>
        <w:rPr>
          <w:i/>
        </w:rPr>
        <w:t>Daldinia concentrica)</w:t>
      </w:r>
      <w:r>
        <w:t>, men även på gran, al och ek. Arten påverkas negativt av brist på brandsuccessioner i skog</w:t>
      </w:r>
      <w:r>
        <w:rPr>
          <w:b/>
        </w:rPr>
        <w:t xml:space="preserve"> </w:t>
      </w:r>
      <w:r>
        <w:t>och en minskning av populationen pågår eller förväntas ske (SLU Artdatabanken, 2025).</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Robust tickgnagare</w:t>
      </w:r>
      <w:r>
        <w:rPr>
          <w:b/>
          <w:i/>
        </w:rPr>
        <w:t xml:space="preserve"> </w:t>
      </w:r>
      <w:r>
        <w:t>är en skalbagge vars larvutveckling sker i fruktkroppar av fnöskticka, främst på björk. Arten missgynnas av brist på kontinuitetsskog och det föreligger indikation på eller misstanke om populationsminskning (SLU Artdatabanken, 2025).</w:t>
      </w:r>
    </w:p>
    <w:p>
      <w:r>
        <w:rPr>
          <w:b/>
          <w:i/>
        </w:rPr>
        <w:t>Thymalus limbatus</w:t>
      </w:r>
      <w:r>
        <w:rPr>
          <w:b/>
        </w:rPr>
        <w:t xml:space="preserve"> </w:t>
      </w:r>
      <w:r>
        <w:t>är en flatbagge vars larvutveckling sker i mycelhaltig bark och ved i grenar, stammar och lågor av olika barr- och lövträd. Främst utnyttjas tall och gran med klibbticka, björk med fnöskticka eller björkticka och bok med fnöskticka. Arten påverkas negativt av brist på kontinuitetsskog och det föreligger indikation på eller misstanke om populationsminskning (SLU Artdatabanken, 2025).</w:t>
      </w:r>
    </w:p>
    <w:p>
      <w:r>
        <w:rPr>
          <w:b/>
        </w:rPr>
        <w:t>Vanlig flatbagge</w:t>
      </w:r>
      <w:r>
        <w:t xml:space="preserve"> är en skalbagge vars larvutveckling sker i brunrötad ved av tall och gran, i mindre omfattning lövträd som al, asp och björk. Främst i lågor med klibbticka, timmerticka eller citronticka. Vanlig flatbagge är typisk art för </w:t>
      </w:r>
      <w:r>
        <w:rPr>
          <w:i/>
        </w:rPr>
        <w:t xml:space="preserve">9060 Åsbarrskog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entita (NT, T, §4), kattfotslav (NT, T), granbarkgnagare (S, T), vanlig flatbagge (S, T)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