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781-2024 i Vaggeryds kommun</w:t>
      </w:r>
    </w:p>
    <w:p>
      <w:r>
        <w:t>Detta klagomål behandlar höga naturvärden i samrådsanmälan S 781-2024 i Vaggeryds kommun som inkom 2024-03-18 och omfattar 839,6 ha.</w:t>
      </w:r>
    </w:p>
    <w:p>
      <w:pPr>
        <w:pStyle w:val="Caption"/>
      </w:pPr>
      <w:r>
        <w:drawing>
          <wp:inline xmlns:a="http://schemas.openxmlformats.org/drawingml/2006/main" xmlns:pic="http://schemas.openxmlformats.org/drawingml/2006/picture">
            <wp:extent cx="5486400" cy="4728484"/>
            <wp:docPr id="1" name="Picture 1"/>
            <wp:cNvGraphicFramePr>
              <a:graphicFrameLocks noChangeAspect="1"/>
            </wp:cNvGraphicFramePr>
            <a:graphic>
              <a:graphicData uri="http://schemas.openxmlformats.org/drawingml/2006/picture">
                <pic:pic>
                  <pic:nvPicPr>
                    <pic:cNvPr id="0" name="S 781-2024 karta.png"/>
                    <pic:cNvPicPr/>
                  </pic:nvPicPr>
                  <pic:blipFill>
                    <a:blip r:embed="rId16"/>
                    <a:stretch>
                      <a:fillRect/>
                    </a:stretch>
                  </pic:blipFill>
                  <pic:spPr>
                    <a:xfrm>
                      <a:off x="0" y="0"/>
                      <a:ext cx="5486400" cy="4728484"/>
                    </a:xfrm>
                    <a:prstGeom prst="rect"/>
                  </pic:spPr>
                </pic:pic>
              </a:graphicData>
            </a:graphic>
          </wp:inline>
        </w:drawing>
      </w:r>
    </w:p>
    <w:p>
      <w:pPr>
        <w:pStyle w:val="Caption"/>
        <w:spacing w:after="240"/>
      </w:pPr>
      <w:r>
        <w:t>Figur 1. Fyndplatser för naturvårdsarter i och inom 16 meter från samrådsanmälan. Markörer utan svart kant är placerade på fyndplatsen. Markörer med svart kant är placerade vid sidan av fyndplatsen och har ett svart streck som visar fyndplatsens exakta position. Kartans mittpunktskoordinat är N 6378464, E 436670 i SWEREF 99 TM.</w:t>
      </w:r>
    </w:p>
    <w:p>
      <w:r>
        <w:t>I och inom 16 meter från samrådsanmälan finns fynd av 13 naturvårdsarter, varav 5 är rödlistade, 5 är fridlysta, 7 är typiska (T) och 5 är signalarter (S): garnlav (VU, T), grynig filtlav (NT, T), kattfotslav (NT, T), kungsörn (NT, §4), svinrot (NT), dvärgtufs (S), rävticka (S, T), skuggmossa (S, T), spindelblomster (S, T, §8), stor revmossa (S), tjäder (T, §4), törnskata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Grynig filtlav (NT)</w:t>
      </w:r>
      <w:r>
        <w:t xml:space="preserve"> tillhör en grupp fuktighetskrävande, storväxta bladlavar där också bl.a. lunglav (NT) ingår. Den växer framför allt på gamla mossiga stammar av lövträd, särskilt ädellövträd samt asp och sälg, i kulturmarker, lövskogar, halvöppna och lövrika barrblandskogar i områden med hög luftfuktighet. Arten indikerar långvarig förekomst av gamla lövträd och ett mikroklimat med konstant hög och jämn luftfuktighet. Grynig filtlav är typisk art för </w:t>
      </w:r>
      <w:r>
        <w:rPr>
          <w:i/>
        </w:rPr>
        <w:t>9010 Taiga, 9020 Nordlig ädellövskog, 9110 Näringsfattig bokskog, 9130 Näringsrik bokskog, 9160 Näringsrik ekskog, 9180 Ädellövskog i branter,</w:t>
      </w:r>
      <w:r>
        <w:t xml:space="preserve"> </w:t>
      </w:r>
      <w:r>
        <w:rPr>
          <w:i/>
        </w:rPr>
        <w:t>9190 Näringsfattig ekskog</w:t>
      </w:r>
      <w:r>
        <w:t xml:space="preserve"> och </w:t>
      </w:r>
      <w:r>
        <w:rPr>
          <w:i/>
        </w:rPr>
        <w:t>9070 Trädklädd betesmark</w:t>
      </w:r>
      <w:r>
        <w:t xml:space="preserve"> (SLU Artdatabanken, 2024; Nitare &amp; Skogsstyrelsen, 2019).</w:t>
      </w:r>
    </w:p>
    <w:p>
      <w:r>
        <w:rPr>
          <w:b/>
        </w:rPr>
        <w:t xml:space="preserve">Kattfotslav (NT) </w:t>
      </w:r>
      <w:r>
        <w:t xml:space="preserve">är en mycket god signalart i hela sitt svenska utbredningsområde och skogsbestånd med kattfotslav är alltid värdefulla ur naturvårdssynpunkt. Arten indikerar dels ett mikroklimat med konstant hög luftfuktighet, dels kontinuitet av äldre träd och god trädslutenhet. Trots att den är vanligare i sydvästra Sverige växer den enbart i skogsbestånd med höga naturvärden. Den är känslig för skogliga ingrepp som kan förändra lokal- och mikroklimat. Kattfotslav är typisk art för </w:t>
      </w:r>
      <w:r>
        <w:rPr>
          <w:i/>
        </w:rPr>
        <w:t xml:space="preserve">9010 Taiga, 9160 Näringsrik ekskog </w:t>
      </w:r>
      <w:r>
        <w:t>och</w:t>
      </w:r>
      <w:r>
        <w:rPr>
          <w:i/>
        </w:rPr>
        <w:t xml:space="preserve"> 9190 Näringsfattig ekskog</w:t>
      </w:r>
      <w:r>
        <w:t xml:space="preserve"> (Nitare &amp; Skogsstyrelsen, 2019; SLU Artdatabanken, 2026).</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Rävticka</w:t>
      </w:r>
      <w:r>
        <w:t xml:space="preserve"> är typisk art för </w:t>
      </w:r>
      <w:r>
        <w:rPr>
          <w:i/>
        </w:rPr>
        <w:t xml:space="preserve">9010 Taiga </w:t>
      </w:r>
      <w:r>
        <w:t>(SLU Artdatabanken, 2025).</w:t>
      </w:r>
    </w:p>
    <w:p>
      <w:r>
        <w:rPr>
          <w:b/>
        </w:rPr>
        <w:t xml:space="preserve">Skuggmossa </w:t>
      </w:r>
      <w:r>
        <w:t xml:space="preserve">förekommer främst i skuggiga och fuktiga granskogar med hög och jämn luftfuktighet och signalerar alltid skog med höga naturvärden. Skuggmossa är typisk art för </w:t>
      </w:r>
      <w:r>
        <w:rPr>
          <w:i/>
        </w:rPr>
        <w:t>9080 Lövsumpskog</w:t>
      </w:r>
      <w:r>
        <w:t xml:space="preserve"> (Nitare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13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