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47402-2025 i Jönköpings kommun</w:t>
      </w:r>
    </w:p>
    <w:p>
      <w:r>
        <w:t>Denna tillsynsbegäran behandlar höga naturvärden i avverkningsanmälan A 47402-2025 i Jönköpings kommun som inkom 2025-09-30 och omfattar 2,1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47402-2025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6410103, E 461541 i SWEREF 99 TM.</w:t>
      </w:r>
    </w:p>
    <w:p>
      <w:r>
        <w:t>I avverkningsanmälan finns fynd av 5 naturvårdsarter, varav 1 är rödlistad, 2 är typiska (T) och 4 är signalarter (S): vedsäckmossa (VU), bronshjon (S, T), granbarkgnagare (S, T), västlig hakmossa (S) och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Vedsäckmossa (VU)</w:t>
      </w:r>
      <w:r>
        <w:t xml:space="preserve"> växer på grova lågor, framför allt i näringsrika, fuktiga och urskogsartade granskogar. Arten är placerad högst upp i Skogsstyrelsens värdepyramid för bedömning av skog med höga naturvärden och signalerar naturskog med höga naturvärden. Den indikerar även skyddsvärda alsumpskogar med riklig och kontinuerlig förekomst av död ved. Kända lokaler bör ges ett ändamålsenligt skydd och undantas från skogsbruk. Lokalerna behöver också vara tillräckligt stora så att god tillgång på lämplig ved tryggas på lång sikt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