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47226-2018 i Jönköpings kommun</w:t>
      </w:r>
    </w:p>
    <w:p>
      <w:r>
        <w:t>Detta dokument behandlar höga naturvärden i avverkningsanmälan A 47226-2018 i Jönköpings kommun. Denna avverkningsanmälan inkom 2018-09-25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bred kärrtrollslända (§4a), bred paljettdykare (§4a), bredkantad dykare (§4a), citronfläckad kärrtrollslända (§4a), grön flodtrollslända (§4a), grön mosaikslända (§4a) och pudrad kärrtrollslända (§4a).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47226-2018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6402934, E 467860 i SWEREF 99 TM.</w:t>
      </w:r>
    </w:p>
    <w:p>
      <w:pPr>
        <w:pStyle w:val="Heading1"/>
      </w:pPr>
      <w:r>
        <w:t>Fridlysta arter</w:t>
      </w:r>
    </w:p>
    <w:p>
      <w:r>
        <w:t>Följande fridlysta arter har sina livsmiljöer och växtplatser i den avverkningsanmälda skogen: bred kärrtrollslända (§4a), bred paljettdykare (§4a), bredkantad dykare (§4a), citronfläckad kärrtrollslända (§4a), grön flodtrollslända (§4a), grön mosaikslända (§4a) och pudrad kärrtrollslända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