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4791-2022 i Jönköpings kommun</w:t>
      </w:r>
    </w:p>
    <w:p>
      <w:r>
        <w:t>Detta klagomål behandlar höga naturvärden i samrådsanmälan S 4791-2022 i Jönköpings kommun som inkom 2022-08-29 och omfattar 137,5 ha.</w:t>
      </w:r>
    </w:p>
    <w:p>
      <w:pPr>
        <w:pStyle w:val="Caption"/>
      </w:pPr>
      <w:r>
        <w:drawing>
          <wp:inline xmlns:a="http://schemas.openxmlformats.org/drawingml/2006/main" xmlns:pic="http://schemas.openxmlformats.org/drawingml/2006/picture">
            <wp:extent cx="4758197" cy="5724000"/>
            <wp:docPr id="1" name="Picture 1"/>
            <wp:cNvGraphicFramePr>
              <a:graphicFrameLocks noChangeAspect="1"/>
            </wp:cNvGraphicFramePr>
            <a:graphic>
              <a:graphicData uri="http://schemas.openxmlformats.org/drawingml/2006/picture">
                <pic:pic>
                  <pic:nvPicPr>
                    <pic:cNvPr id="0" name="S 4791-2022 karta.png"/>
                    <pic:cNvPicPr/>
                  </pic:nvPicPr>
                  <pic:blipFill>
                    <a:blip r:embed="rId16"/>
                    <a:stretch>
                      <a:fillRect/>
                    </a:stretch>
                  </pic:blipFill>
                  <pic:spPr>
                    <a:xfrm>
                      <a:off x="0" y="0"/>
                      <a:ext cx="4758197" cy="5724000"/>
                    </a:xfrm>
                    <a:prstGeom prst="rect"/>
                  </pic:spPr>
                </pic:pic>
              </a:graphicData>
            </a:graphic>
          </wp:inline>
        </w:drawing>
      </w:r>
    </w:p>
    <w:p>
      <w:pPr>
        <w:pStyle w:val="Caption"/>
        <w:spacing w:after="240"/>
      </w:pPr>
      <w:r>
        <w:t>Figur 1. Fyndplatser för naturvårdsarter i och inom 25 meter från samrådsanmälan. Markörer utan svart kant är placerade på fyndplatsen. Markörer med svart kant är placerade vid sidan av fyndplatsen har ett svart streck som visar fyndplatsens exakta position. Kartans mittpunktskoordinat är N 6400895, E 461290 i SWEREF 99 TM.</w:t>
      </w:r>
    </w:p>
    <w:p>
      <w:r>
        <w:t>I och inom 25 meter från samrådsanmälan finns fynd av 8 naturvårdsarter, varav 2 är rödlistade, 3 är fridlysta, 3 är typiska (T) och 2 är signalarter (S): ask (EN), svinrot (NT), springkorn (S, T), vätteros (S, T), hultbräken (T), gröngöling (§4), hasselmus (§4a) och grönvit nattviol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 xml:space="preserve">Springkorn </w:t>
      </w:r>
      <w:r>
        <w:t>är en kärlväxt som blir upp till en meter hög och kan bilda stora bestånd,</w:t>
      </w:r>
      <w:r>
        <w:rPr>
          <w:b/>
        </w:rPr>
        <w:t xml:space="preserve"> </w:t>
      </w:r>
      <w:r>
        <w:t xml:space="preserve">ofta i skuggiga, fuktiga och mullrika skogsmiljöer. Den är uttorkningskänslig och hotas främst av dräneringsåtgärder och kalavverkning samt eventuellt även av den införda växten blekbalsamin. Arten är på många håll skyddad i naturreservat med lundartad vegetation i raviner men de främsta förekomsterna på moränlera vid sjöstränder har ett sämre skydd. Springkorn är typisk art för </w:t>
      </w:r>
      <w:r>
        <w:rPr>
          <w:i/>
        </w:rPr>
        <w:t xml:space="preserve">9080 Lövsumpskog, 9750 Svämlövskog </w:t>
      </w:r>
      <w:r>
        <w:t>och</w:t>
      </w:r>
      <w:r>
        <w:rPr>
          <w:i/>
        </w:rPr>
        <w:t xml:space="preserve"> 9760 Svämädellövskog</w:t>
      </w:r>
      <w:r>
        <w:t xml:space="preserve"> samt värdväxt för de sällsynta och rödlistade fjärilsarterna gulryggig fältmätare (VU), nätådrig parkmätare (VU), springkornsrotvecklare (VU) och springkornsfältmätare (NT) (SLU Artdatabanken, 2024).</w:t>
      </w:r>
    </w:p>
    <w:p>
      <w:r>
        <w:rPr>
          <w:b/>
        </w:rPr>
        <w:t xml:space="preserve">Vätteros </w:t>
      </w:r>
      <w:r>
        <w:t xml:space="preserve">är typisk art för </w:t>
      </w:r>
      <w:r>
        <w:rPr>
          <w:i/>
        </w:rPr>
        <w:t xml:space="preserve">9020 Nordlig ädellövskog </w:t>
      </w:r>
      <w:r>
        <w:t>och</w:t>
      </w:r>
      <w:r>
        <w:rPr>
          <w:i/>
        </w:rPr>
        <w:t xml:space="preserve"> 9160 Näringsrik ekskog </w:t>
      </w:r>
      <w:r>
        <w:t>(SLU Artdatabanken, 2025).</w:t>
      </w:r>
    </w:p>
    <w:p>
      <w:r>
        <w:rPr>
          <w:b/>
        </w:rPr>
        <w:t xml:space="preserve">Hultbräken </w:t>
      </w:r>
      <w:r>
        <w:t xml:space="preserve">är typisk art för </w:t>
      </w:r>
      <w:r>
        <w:rPr>
          <w:i/>
        </w:rPr>
        <w:t xml:space="preserve">9050 Näringsrik granskog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8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