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6327-2026 i Jönköpings kommun</w:t>
      </w:r>
    </w:p>
    <w:p>
      <w:r>
        <w:t>Detta klagomål behandlar höga naturvärden i avverkningsanmälan A 6327-2026 i Jönköpings kommun som inkom 2026-02-02 och omfattar 10,0 ha.</w:t>
      </w:r>
    </w:p>
    <w:p>
      <w:pPr>
        <w:pStyle w:val="Caption"/>
      </w:pPr>
      <w:r>
        <w:drawing>
          <wp:inline xmlns:a="http://schemas.openxmlformats.org/drawingml/2006/main" xmlns:pic="http://schemas.openxmlformats.org/drawingml/2006/picture">
            <wp:extent cx="5486400" cy="4688818"/>
            <wp:docPr id="1" name="Picture 1"/>
            <wp:cNvGraphicFramePr>
              <a:graphicFrameLocks noChangeAspect="1"/>
            </wp:cNvGraphicFramePr>
            <a:graphic>
              <a:graphicData uri="http://schemas.openxmlformats.org/drawingml/2006/picture">
                <pic:pic>
                  <pic:nvPicPr>
                    <pic:cNvPr id="0" name="A 6327-2026 karta.png"/>
                    <pic:cNvPicPr/>
                  </pic:nvPicPr>
                  <pic:blipFill>
                    <a:blip r:embed="rId16"/>
                    <a:stretch>
                      <a:fillRect/>
                    </a:stretch>
                  </pic:blipFill>
                  <pic:spPr>
                    <a:xfrm>
                      <a:off x="0" y="0"/>
                      <a:ext cx="5486400" cy="4688818"/>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6419435, E 459648 i SWEREF 99 TM.</w:t>
      </w:r>
    </w:p>
    <w:p>
      <w:r>
        <w:t>I och inom 9 meter från avverkningsanmälan finns fynd av 8 naturvårdsarter, varav 1 är rödlistad, 1 är typisk (T) och 7 är signalarter (S): praktvaxing (NT), blodvaxing (S), gulvaxing (S), igelkottsröksvamp (S), svart trolldruva (S, T), vitvaxing agg. (S), västlig hakmossa (S) och ängsfingersvamp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Praktvaxing (NT) </w:t>
      </w:r>
      <w:r>
        <w:t>växer i hedartad, sur och mager gräsmark med stagg och ljungtuvor på betad mark med lång historia av hävd, ofta bland mossa. De allra flesta fynden i såväl Sverige som i Norge är från öppna marker och bara ett fåtal från betade skogar. Praktvaxing ingår i ett åtgärdsprogram för hotade arter (ÅGP) och är globalt rödlistad som sårbar (VU) vilket innebär att Sverige har ett internationellt ansvar för arten (SLU Artdatabanken, 2024; IUCN, 2019; Jordal, 2011).</w:t>
      </w:r>
    </w:p>
    <w:p>
      <w:r>
        <w:rPr>
          <w:b/>
        </w:rPr>
        <w:t xml:space="preserve">Igelkottsröksvamp </w:t>
      </w:r>
      <w:r>
        <w:t>är överallt en bra signalart på skyddsvärda ädellövskogar och lövlundar. Svampen är kalkgynnad och indikerar lokalklimatiskt varma men samtidigt relativt fuktiga lövskogar. Växtmiljön utgörs vanligtvis av äldre successionsstadier inom områden med långvarig trädkontinuitet och lokalerna hyser oftast en rik lundflora med många andra ovanliga och rödlistade arter. Skogsbruk som bryter den skogliga kontinuiteten och förändrade markförhållanden missgynnar arten (SLU Artdatabanken, 2024;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