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21205-2024 i Jönköpings kommun</w:t>
      </w:r>
    </w:p>
    <w:p>
      <w:r>
        <w:t>Detta dokument behandlar höga naturvärden i avverkningsanmälan A 21205-2024 i Jönköpings kommun. Denna avverkningsanmälan inkom 2024-05-28 och omfattar 6,8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5 naturvårdsarter hittats: ask (EN), tornseglare (EN, §4), björktrast (NT, §4), entita (NT, §4) och svartvit flugsnappare (NT, §4). Av dessa är 5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94855"/>
            <wp:docPr id="1" name="Picture 1"/>
            <wp:cNvGraphicFramePr>
              <a:graphicFrameLocks noChangeAspect="1"/>
            </wp:cNvGraphicFramePr>
            <a:graphic>
              <a:graphicData uri="http://schemas.openxmlformats.org/drawingml/2006/picture">
                <pic:pic>
                  <pic:nvPicPr>
                    <pic:cNvPr id="0" name="A 21205-2024 karta.png"/>
                    <pic:cNvPicPr/>
                  </pic:nvPicPr>
                  <pic:blipFill>
                    <a:blip r:embed="rId16"/>
                    <a:stretch>
                      <a:fillRect/>
                    </a:stretch>
                  </pic:blipFill>
                  <pic:spPr>
                    <a:xfrm>
                      <a:off x="0" y="0"/>
                      <a:ext cx="5486400" cy="509485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6428286, E 466769 i SWEREF 99 TM.</w:t>
      </w:r>
    </w:p>
    <w:p>
      <w:pPr>
        <w:pStyle w:val="Heading1"/>
      </w:pPr>
      <w:r>
        <w:t>Fridlysta arter</w:t>
      </w:r>
    </w:p>
    <w:p>
      <w:r>
        <w:t>Följande fridlysta arter har sina livsmiljöer och växtplatser i den avverkningsanmälda skogen: tornseglare (EN, §4), björktrast (NT, §4), entita (NT, §4) och svartvit flugsnappare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Entita (NT, §4)</w:t>
      </w:r>
      <w:r>
        <w:t>, rödlistad som nära hotad och prioriterad art i Skogsvårdslagen, har häckningsrevir i anmälan. Minskningstakten innevarande 10-årsperiod beräknas till 20 (10–30) %.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(Skogsstyrelsen, 2016,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Entita – ekologi samt krav på livsmiljön</w:t>
      </w:r>
    </w:p>
    <w:p>
      <w:r>
        <w:t>Entita (NT, §4) är rödlistad som nära hotad, fridlyst och prioriterad art enligt Skogsvårdslagen. Den omfattas av EU:s fågeldirektiv.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