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avverkningsanmälan A 25852-2025 i Jönköpings kommun</w:t>
      </w:r>
    </w:p>
    <w:p>
      <w:r>
        <w:t>Detta klagomål behandlar höga naturvärden i avverkningsanmälan A 25852-2025 i Jönköpings kommun som inkom 2025-05-27 och omfattar 3,3 ha.</w:t>
      </w:r>
    </w:p>
    <w:p>
      <w:pPr>
        <w:pStyle w:val="Caption"/>
      </w:pPr>
      <w:r>
        <w:drawing>
          <wp:inline xmlns:a="http://schemas.openxmlformats.org/drawingml/2006/main" xmlns:pic="http://schemas.openxmlformats.org/drawingml/2006/picture">
            <wp:extent cx="5486400" cy="5358195"/>
            <wp:docPr id="1" name="Picture 1"/>
            <wp:cNvGraphicFramePr>
              <a:graphicFrameLocks noChangeAspect="1"/>
            </wp:cNvGraphicFramePr>
            <a:graphic>
              <a:graphicData uri="http://schemas.openxmlformats.org/drawingml/2006/picture">
                <pic:pic>
                  <pic:nvPicPr>
                    <pic:cNvPr id="0" name="A 25852-2025 karta.png"/>
                    <pic:cNvPicPr/>
                  </pic:nvPicPr>
                  <pic:blipFill>
                    <a:blip r:embed="rId16"/>
                    <a:stretch>
                      <a:fillRect/>
                    </a:stretch>
                  </pic:blipFill>
                  <pic:spPr>
                    <a:xfrm>
                      <a:off x="0" y="0"/>
                      <a:ext cx="5486400" cy="5358195"/>
                    </a:xfrm>
                    <a:prstGeom prst="rect"/>
                  </pic:spPr>
                </pic:pic>
              </a:graphicData>
            </a:graphic>
          </wp:inline>
        </w:drawing>
      </w:r>
    </w:p>
    <w:p>
      <w:pPr>
        <w:pStyle w:val="Caption"/>
        <w:spacing w:after="240"/>
      </w:pPr>
      <w:r>
        <w:t>Figur 1. Fyndplatser för naturvårdsarter inom 23 meter från avverkningsanmälan. Markörer utan svart kant är placerade på fyndplatsen. Markörer med svart kant är placerade vid sidan av fyndplatsen har ett svart streck som visar fyndplatsens exakta position. Kartans mittpunktskoordinat är N 6419450, E 460582 i SWEREF 99 TM.</w:t>
      </w:r>
    </w:p>
    <w:p>
      <w:r>
        <w:t>Inom 23 meter från avverkningsanmälan finns fynd av 6 naturvårdsarter, varav 4 är rödlistade, 6 är fridlysta och 1 är typisk (T): grönfink (VU, §4), björktrast (NT, §4), bläsand (NT, §4), rödvingetrast (NT, §4), tallbit (T, §4) och grönsiska (§4).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avverkningsanmälda skogen. Se även ytterligare artfakta i BILAGA 1. De påträffade naturvårdsarterna är ett tydligt kvitto på att det rör sig om en skog med höga naturvärden.</w:t>
      </w:r>
    </w:p>
    <w:p>
      <w:r>
        <w:rPr>
          <w:b/>
        </w:rPr>
        <w:t>Tallbit (§4)</w:t>
      </w:r>
      <w:r>
        <w:t xml:space="preserve"> ställer höga krav på sin livsmiljö och permanent förekomst av häckande tallbit finns huvudsakligen i gammal grandominerad barrblandskog av naturskogskaraktär. Reviren är relativt stora (12–75 hektar) och arten saknas i områden med storskaligt skogsbruk med hög andel stora hyggen och täta ungskogar. Områden med dokumenterad permanent förekomst har vanligtvis så stora naturvärden att skogsbruk är olämpligt. Tallbit är typisk art för </w:t>
      </w:r>
      <w:r>
        <w:rPr>
          <w:i/>
        </w:rPr>
        <w:t>9010 Taiga</w:t>
      </w:r>
      <w:r>
        <w:t xml:space="preserve"> (SLU Artdatabanken, 2026; Skogsstyrelsen, 2016). Observationer av tallbit i naturskog eller under häckningstid måste alltid utredas.</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r>
        <w:rPr>
          <w:i/>
        </w:rPr>
        <w:t xml:space="preserve"> EU:s medlemsländer och skogsbolag är skyldiga att agera i enlighet med EU:s fågeldirektiv där det uttryckligen står att direktivet gäller för fåglar samt för deras ägg, bon och </w:t>
      </w:r>
      <w:r>
        <w:rPr>
          <w:b/>
          <w:i/>
        </w:rPr>
        <w:t xml:space="preserve">livsmiljöer </w:t>
      </w:r>
      <w:r>
        <w:t>(artikel 1). Vidare att de åtgärder som vidtas inte får leda till en försämring av den nuvarande situationen beträffande bevarandet av de fågelarter som avses i artikel 1 (artikel 13).</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6 naturvårdsarter varav 4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p>
      <w:r>
        <w:br w:type="page"/>
      </w:r>
    </w:p>
    <w:p>
      <w:pPr>
        <w:pStyle w:val="Title"/>
      </w:pPr>
      <w:r>
        <w:t>BILAGA 1 – Fridlysta arter</w:t>
      </w:r>
    </w:p>
    <w:p>
      <w:pPr>
        <w:pStyle w:val="Heading1"/>
      </w:pPr>
      <w:r>
        <w:t>Tallbit – ekologi samt krav på livsmiljön</w:t>
      </w:r>
    </w:p>
    <w:p>
      <w:r>
        <w:t xml:space="preserve">Tallbit (§4) är typisk art för </w:t>
      </w:r>
      <w:r>
        <w:rPr>
          <w:i/>
        </w:rPr>
        <w:t>9010 Taiga</w:t>
      </w:r>
      <w:r>
        <w:t xml:space="preserve"> och prioriterad art enligt Skogsvårdslagen. Den förekommer från norra Dalarna och norrut genom de inre delarna av Norrland, norrut till norra Norrbotten. Tallbiten ställer höga krav på sin livsmiljö och permanent förekomst av häckande tallbit finns huvudsakligen i gammal grandominerad barrblandskog av naturskogskaraktär med inslag av björk, gråal, rönn och viden, påfallande ofta i områden med inslag av myrmark och små vattendrag. Reviren är relativt stora (12–75 hektar enligt befintliga studier) och arten saknas i områden med storskaligt skogsbruk med hög andel stora hyggen och täta ungskogar. Områden med dokumenterad permanent förekomst har ofta så stora naturvärden att skogsbruk är olämpligt (SLU Artdatabanken, 2026; Skogsstyrelsen, 2016).</w:t>
      </w:r>
    </w:p>
    <w:p>
      <w:r>
        <w:t>Arealerna grandominerad naturskog har i stora delar av landet blivit allt för små, och bestånden är dessutom i många fall allt för isolerade, för att kunna upprätthålla stabila populationer. Omdaningen av naturskogsartad skog till produktionsskog medför en förlust av viktiga häckningsmiljöer, något som förstärks av ökad fragmentering av kvarvarande naturskogsartade bestånd. Områden med dokumenterad permanent förekomst i naturskogsmiljöer kan ha så stora naturvärden att de bör bli föremål för områdesskydd eller naturvårdsavsättningar (Skogsstyrelsen, 2016).</w:t>
      </w:r>
    </w:p>
    <w:p>
      <w:r>
        <w:t>Tallbiten flyttar normalt endast begränsade sträckor inom norra barrskogsregionen och de flesta vintrar ses den endast i mycket liten omfattning utanför häckningsområdet. Med långa och oregelbundna mellanrum uppträder tallbiten invasionsaktigt och i samband med sådana rörelser kan den observeras i stora delar av Sverige (SLU Artdatabanken, 2026).</w:t>
      </w:r>
    </w:p>
    <w:p>
      <w:pPr>
        <w:pStyle w:val="Heading2"/>
      </w:pPr>
      <w:r>
        <w:t>Referenser – tallbit</w:t>
      </w:r>
    </w:p>
    <w:p>
      <w:r>
        <w:t xml:space="preserve">Skogsstyrelsen, 2016. </w:t>
      </w:r>
      <w:r>
        <w:rPr>
          <w:i/>
        </w:rPr>
        <w:t xml:space="preserve">Vägledning för hänsyn till tallbit. </w:t>
      </w:r>
      <w:r>
        <w:t>Vägledningar och kunskapsstöd artskydd - Skogsstyrelsen</w:t>
      </w:r>
    </w:p>
    <w:p>
      <w:r>
        <w:t>SLU Artdatabanken, 2026.</w:t>
      </w:r>
      <w:r>
        <w:rPr>
          <w:i/>
        </w:rPr>
        <w:t xml:space="preserve"> Artfakta: tallbit (Pinicola enucleator).</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2026-06-24</w:t>
      <w:br/>
      <w:br/>
    </w:r>
    <w:r>
      <w:t>Till:</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