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34351-2025 i Jönköpings kommun</w:t>
      </w:r>
    </w:p>
    <w:p>
      <w:r>
        <w:t>Detta dokument behandlar höga naturvärden i avverkningsanmälan A 34351-2025 i Jönköpings kommun. Denna avverkningsanmälan inkom 2025-07-08 11:21:38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gammelekslav (NT), bronshjon (S) och västlig hakmossa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9703"/>
            <wp:docPr id="1" name="Picture 1"/>
            <wp:cNvGraphicFramePr>
              <a:graphicFrameLocks noChangeAspect="1"/>
            </wp:cNvGraphicFramePr>
            <a:graphic>
              <a:graphicData uri="http://schemas.openxmlformats.org/drawingml/2006/picture">
                <pic:pic>
                  <pic:nvPicPr>
                    <pic:cNvPr id="0" name="A 34351-2025 karta.png"/>
                    <pic:cNvPicPr/>
                  </pic:nvPicPr>
                  <pic:blipFill>
                    <a:blip r:embed="rId16"/>
                    <a:stretch>
                      <a:fillRect/>
                    </a:stretch>
                  </pic:blipFill>
                  <pic:spPr>
                    <a:xfrm>
                      <a:off x="0" y="0"/>
                      <a:ext cx="5486400" cy="3969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6413933, E 467181 i SWEREF 99 TM.</w:t>
      </w:r>
    </w:p>
    <w:p>
      <w:r>
        <w:rPr>
          <w:b/>
        </w:rPr>
        <w:t xml:space="preserve">Gammelekslav (NT) </w:t>
      </w:r>
      <w:r>
        <w:t>är en mycket exklusiv lav som</w:t>
      </w:r>
      <w:r>
        <w:rPr>
          <w:b/>
        </w:rPr>
        <w:t xml:space="preserve"> </w:t>
      </w:r>
      <w:r>
        <w:t>växer på grova ekar i halvöppet läge med hög luftfuktighet. Lämpliga ekar nyskapas i mycket begränsad omfattning. Arten är placerad högst upp i Skogsstyrelsens värdepyramid för bedömning av skog med höga naturvärden. Håll öppet kring ekjättarnas ömtåliga och konkurrenskänsliga kronor. Särskilt rika lokaler med gammelekslav måste skyddas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0.68 ha med buffertzonerna och får av detta skäl inte avverkas.</w:t>
      </w:r>
    </w:p>
    <w:p>
      <w:pPr>
        <w:pStyle w:val="Caption"/>
      </w:pPr>
      <w:r>
        <w:drawing>
          <wp:inline xmlns:a="http://schemas.openxmlformats.org/drawingml/2006/main" xmlns:pic="http://schemas.openxmlformats.org/drawingml/2006/picture">
            <wp:extent cx="5486400" cy="4599782"/>
            <wp:docPr id="2" name="Picture 2"/>
            <wp:cNvGraphicFramePr>
              <a:graphicFrameLocks noChangeAspect="1"/>
            </wp:cNvGraphicFramePr>
            <a:graphic>
              <a:graphicData uri="http://schemas.openxmlformats.org/drawingml/2006/picture">
                <pic:pic>
                  <pic:nvPicPr>
                    <pic:cNvPr id="0" name="A 34351-2025 karta knärot.png"/>
                    <pic:cNvPicPr/>
                  </pic:nvPicPr>
                  <pic:blipFill>
                    <a:blip r:embed="rId17"/>
                    <a:stretch>
                      <a:fillRect/>
                    </a:stretch>
                  </pic:blipFill>
                  <pic:spPr>
                    <a:xfrm>
                      <a:off x="0" y="0"/>
                      <a:ext cx="5486400" cy="459978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6413933, E 467181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