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64890-2021 i Jönköpings kommun</w:t>
      </w:r>
    </w:p>
    <w:p>
      <w:r>
        <w:t>Detta dokument behandlar höga naturvärden i avverkningsanmälan A 64890-2021 i Jönköpings kommun. Denna avverkningsanmälan inkom 2021-11-12 15:02:26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backtimjan (NT), dvärgpipistrell (§4a), större brunfladdermus (§4a),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64890-2021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6392270, E 451367 i SWEREF 99 TM.</w:t>
      </w:r>
    </w:p>
    <w:p>
      <w:pPr>
        <w:pStyle w:val="Heading1"/>
      </w:pPr>
      <w:r>
        <w:t>Fridlysta arter</w:t>
      </w:r>
    </w:p>
    <w:p>
      <w:r>
        <w:t>Följande fridlysta arter har sina livsmiljöer och växtplatser i den avverkningsanmälda skogen: dvärgpipistrell (§4a), större brunfladdermus (§4a), mattlummer (§9) och revlummer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Mattlummer (§9)</w:t>
      </w:r>
      <w:r>
        <w:t xml:space="preserve"> är typisk art för </w:t>
      </w:r>
      <w:r>
        <w:rPr>
          <w:i/>
        </w:rPr>
        <w:t xml:space="preserve">9010 Taiga </w:t>
      </w:r>
      <w:r>
        <w:t>(SLU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