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8977-2023 i Jönköpings kommun</w:t>
      </w:r>
    </w:p>
    <w:p>
      <w:r>
        <w:t>Detta dokument behandlar höga naturvärden i avverkningsanmälan A 8977-2023 i Jönköpings kommun. Denna avverkningsanmälan inkom 2023-02-17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falsk djävulssopp (VU), knärot (VU, §8)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8977-2023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6424830, E 466662 i SWEREF 99 TM.</w:t>
      </w:r>
    </w:p>
    <w:p>
      <w:r>
        <w:rPr>
          <w:b/>
        </w:rPr>
        <w:t xml:space="preserve">Falsk djävulssopp (VU) </w:t>
      </w:r>
      <w:r>
        <w:t>är en mycket sällsynt art som bildar mykorrhiza med ek på kalkrik mark i solvarma lägen i glesa ädellövskogar, parker och andra brynmiljöer. Trädbärande kulturlandskap har generellt höga naturvärden och bör bevaras och skötas med traditionella metoder så långt som möjligt. Parkförvaltningen på de kända lokalerna bör informeras om den sällsynta svampen och i mån av möjlighet anpassa parkskötseln för att optimera överlevnaden av värdträden. Fynd i mera naturliga miljöer bör erhålla skydd och anpassad skötsel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8977-2023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6424830, E 466662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