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41104-2025 i Jönköpings kommun</w:t>
      </w:r>
    </w:p>
    <w:p>
      <w:r>
        <w:t>Detta dokument behandlar höga naturvärden i avverkningsanmälan A 41104-2025 i Jönköpings kommun som inkom 2025-08-29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havsörn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42969" cy="5688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4296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6401400, E 459010 i SWEREF 99 TM.</w:t>
      </w:r>
    </w:p>
    <w:p>
      <w:pPr>
        <w:pStyle w:val="Heading2"/>
      </w:pPr>
      <w:r>
        <w:t>Fridlysta arter</w:t>
      </w:r>
    </w:p>
    <w:p>
      <w:r>
        <w:t>Följande fridlysta arter har sina livsmiljöer och växtplatser i den avverkningsanmälda skogen: duvhök (NT, §4), havsörn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