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61520-2024 i Jönköpings kommun</w:t>
      </w:r>
    </w:p>
    <w:p>
      <w:r>
        <w:t>Detta dokument behandlar höga naturvärden i avverkningsanmälan A 61520-2024 i Jönköpings kommun. Denna avverkningsanmälan inkom 2024-12-20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blek kraterlav (VU) och storgröe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9857"/>
            <wp:docPr id="1" name="Picture 1"/>
            <wp:cNvGraphicFramePr>
              <a:graphicFrameLocks noChangeAspect="1"/>
            </wp:cNvGraphicFramePr>
            <a:graphic>
              <a:graphicData uri="http://schemas.openxmlformats.org/drawingml/2006/picture">
                <pic:pic>
                  <pic:nvPicPr>
                    <pic:cNvPr id="0" name="A 61520-2024 karta.png"/>
                    <pic:cNvPicPr/>
                  </pic:nvPicPr>
                  <pic:blipFill>
                    <a:blip r:embed="rId16"/>
                    <a:stretch>
                      <a:fillRect/>
                    </a:stretch>
                  </pic:blipFill>
                  <pic:spPr>
                    <a:xfrm>
                      <a:off x="0" y="0"/>
                      <a:ext cx="5486400" cy="39598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6435819, E 476193 i SWEREF 99 TM.</w:t>
      </w:r>
    </w:p>
    <w:p>
      <w:r>
        <w:rPr>
          <w:b/>
        </w:rPr>
        <w:t>Blek kraterlav (VU)</w:t>
      </w:r>
      <w:r>
        <w:t xml:space="preserve"> växer på grova ädellövträd (till mer än 80% på ask och alm men någon gång på ek och lönn) i gamla skogar, öppna lövängar, alléer och kyrkogårdar. Arten förekommer på lokaler med lång trädkontinuitet, ofta tillsammans med den rödlistade almlaven (SLU Artdatabanken, 2024).</w:t>
      </w:r>
    </w:p>
    <w:p>
      <w:r>
        <w:rPr>
          <w:b/>
        </w:rPr>
        <w:t xml:space="preserve">Storgröe (NT) </w:t>
      </w:r>
      <w:r>
        <w:t>växer helst i eller vid källor, i bäckraviner, i frodiga skogssluttningar eller sumpskog. Rörligt, gärna något kalkpåverkat, ytligt grundvatten är en förutsättning. Det är främst förändringar av hydrologiska förhållanden genom dikning, körning med skogsfordon eller avverkning som hotar arten. Växtplatserna bör undantas från normal skogsproduktion och kalavverkning är direkt olämpligt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