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1136-2024 i Nässjö kommun</w:t>
      </w:r>
    </w:p>
    <w:p>
      <w:r>
        <w:t>Detta klagomål behandlar höga naturvärden i samrådsanmälan S 1136-2024 i Nässjö kommun som inkom 2024-04-11 och omfattar 18,3 ha.</w:t>
      </w:r>
    </w:p>
    <w:p>
      <w:pPr>
        <w:pStyle w:val="Caption"/>
      </w:pPr>
      <w:r>
        <w:drawing>
          <wp:inline xmlns:a="http://schemas.openxmlformats.org/drawingml/2006/main" xmlns:pic="http://schemas.openxmlformats.org/drawingml/2006/picture">
            <wp:extent cx="5486400" cy="4687441"/>
            <wp:docPr id="1" name="Picture 1"/>
            <wp:cNvGraphicFramePr>
              <a:graphicFrameLocks noChangeAspect="1"/>
            </wp:cNvGraphicFramePr>
            <a:graphic>
              <a:graphicData uri="http://schemas.openxmlformats.org/drawingml/2006/picture">
                <pic:pic>
                  <pic:nvPicPr>
                    <pic:cNvPr id="0" name="S 1136-2024 karta.png"/>
                    <pic:cNvPicPr/>
                  </pic:nvPicPr>
                  <pic:blipFill>
                    <a:blip r:embed="rId16"/>
                    <a:stretch>
                      <a:fillRect/>
                    </a:stretch>
                  </pic:blipFill>
                  <pic:spPr>
                    <a:xfrm>
                      <a:off x="0" y="0"/>
                      <a:ext cx="5486400" cy="46874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6395789, E 475684 i SWEREF 99 TM.</w:t>
      </w:r>
    </w:p>
    <w:p>
      <w:r>
        <w:t>I samrådsanmälan finns fynd av 2 naturvårdsarter, varav 1 är rödlistad, 1 är typisk (T) och 1 är signalart (S): åkerrättika (VU) och grönpyrola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