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1505-2023 i Nässjö kommun</w:t>
      </w:r>
    </w:p>
    <w:p>
      <w:r>
        <w:t>Detta klagomål behandlar höga naturvärden i samrådsanmälan S 1505-2023 i Nässjö kommun som inkom 2023-05-05 och omfattar 49,7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S 1505-2023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6398993, E 494038 i SWEREF 99 TM.</w:t>
      </w:r>
    </w:p>
    <w:p>
      <w:r>
        <w:t>Inom 18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677605"/>
            <wp:docPr id="2" name="Picture 2"/>
            <wp:cNvGraphicFramePr>
              <a:graphicFrameLocks noChangeAspect="1"/>
            </wp:cNvGraphicFramePr>
            <a:graphic>
              <a:graphicData uri="http://schemas.openxmlformats.org/drawingml/2006/picture">
                <pic:pic>
                  <pic:nvPicPr>
                    <pic:cNvPr id="0" name="S 1505-2023 karta knärot.png"/>
                    <pic:cNvPicPr/>
                  </pic:nvPicPr>
                  <pic:blipFill>
                    <a:blip r:embed="rId17"/>
                    <a:stretch>
                      <a:fillRect/>
                    </a:stretch>
                  </pic:blipFill>
                  <pic:spPr>
                    <a:xfrm>
                      <a:off x="0" y="0"/>
                      <a:ext cx="5486400" cy="567760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6398993, E 494038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