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2479-2023 i Nässjö kommun</w:t>
      </w:r>
    </w:p>
    <w:p>
      <w:r>
        <w:t>Detta klagomål behandlar höga naturvärden i samrådsanmälan S 2479-2023 i Nässjö kommun som inkom 2023-07-24 och omfattar 155,9 ha.</w:t>
      </w:r>
    </w:p>
    <w:p>
      <w:pPr>
        <w:pStyle w:val="Caption"/>
      </w:pPr>
      <w:r>
        <w:drawing>
          <wp:inline xmlns:a="http://schemas.openxmlformats.org/drawingml/2006/main" xmlns:pic="http://schemas.openxmlformats.org/drawingml/2006/picture">
            <wp:extent cx="5486400" cy="3250362"/>
            <wp:docPr id="1" name="Picture 1"/>
            <wp:cNvGraphicFramePr>
              <a:graphicFrameLocks noChangeAspect="1"/>
            </wp:cNvGraphicFramePr>
            <a:graphic>
              <a:graphicData uri="http://schemas.openxmlformats.org/drawingml/2006/picture">
                <pic:pic>
                  <pic:nvPicPr>
                    <pic:cNvPr id="0" name="S 2479-2023 karta.png"/>
                    <pic:cNvPicPr/>
                  </pic:nvPicPr>
                  <pic:blipFill>
                    <a:blip r:embed="rId16"/>
                    <a:stretch>
                      <a:fillRect/>
                    </a:stretch>
                  </pic:blipFill>
                  <pic:spPr>
                    <a:xfrm>
                      <a:off x="0" y="0"/>
                      <a:ext cx="5486400" cy="325036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6373676, E 474165 i SWEREF 99 TM.</w:t>
      </w:r>
    </w:p>
    <w:p>
      <w:r>
        <w:t>I och inom 22 meter från samrådsanmälan finns fynd av 5 naturvårdsarter, varav 2 är rödlistade, 4 är fridlysta och 1 är typisk (T): garnlav (VU, T), duvhök (NT, §4), kungsfågel (§4),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