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1290-2023 i Nässjö kommun</w:t>
      </w:r>
    </w:p>
    <w:p>
      <w:r>
        <w:t>Denna tillsynsbegäran behandlar höga naturvärden i samrådsanmälan S 1290-2023 i Nässjö kommun som inkom 2023-04-14 och omfattar 123,3 ha.</w:t>
      </w:r>
    </w:p>
    <w:p>
      <w:pPr>
        <w:pStyle w:val="Caption"/>
      </w:pPr>
      <w:r>
        <w:drawing>
          <wp:inline xmlns:a="http://schemas.openxmlformats.org/drawingml/2006/main" xmlns:pic="http://schemas.openxmlformats.org/drawingml/2006/picture">
            <wp:extent cx="4356928" cy="5724000"/>
            <wp:docPr id="1" name="Picture 1"/>
            <wp:cNvGraphicFramePr>
              <a:graphicFrameLocks noChangeAspect="1"/>
            </wp:cNvGraphicFramePr>
            <a:graphic>
              <a:graphicData uri="http://schemas.openxmlformats.org/drawingml/2006/picture">
                <pic:pic>
                  <pic:nvPicPr>
                    <pic:cNvPr id="0" name="S 1290-2023 karta.png"/>
                    <pic:cNvPicPr/>
                  </pic:nvPicPr>
                  <pic:blipFill>
                    <a:blip r:embed="rId16"/>
                    <a:stretch>
                      <a:fillRect/>
                    </a:stretch>
                  </pic:blipFill>
                  <pic:spPr>
                    <a:xfrm>
                      <a:off x="0" y="0"/>
                      <a:ext cx="4356928"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6382710, E 477399 i SWEREF 99 TM.</w:t>
      </w:r>
    </w:p>
    <w:p>
      <w:r>
        <w:t>I och inom 22 meter från samrådsanmälan finns fynd av 7 naturvårdsarter, varav 3 är rödlistade, 7 är fridlysta, 2 är typiska (T) och 1 är signalart (S): knärot (VU, T, §8), brunlångöra (NT, §4a), nordfladdermus (NT, §4a), spindelblomster (S, T, §8), dvärgpipistrell (§4a), gråskimlig fladdermus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10 fyndplatser för knärot registrerade på Artportalen. Figur 2 visar gränserna för buffertzoner på 50 m, som behöver lämnas kring fyndplatserna för att knärotslokalerna inte ska försvinna vid en avverkning. Av det samrådsanmälda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1290-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6382710, E 477399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