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1671-2025 i Nässjö kommun</w:t>
      </w:r>
    </w:p>
    <w:p>
      <w:r>
        <w:t>Detta klagomål behandlar höga naturvärden i samrådsanmälan S 1671-2025 i Nässjö kommun som inkom 2025-05-27 och omfattar 9,9 ha.</w:t>
      </w:r>
    </w:p>
    <w:p>
      <w:pPr>
        <w:pStyle w:val="Caption"/>
      </w:pPr>
      <w:r>
        <w:drawing>
          <wp:inline xmlns:a="http://schemas.openxmlformats.org/drawingml/2006/main" xmlns:pic="http://schemas.openxmlformats.org/drawingml/2006/picture">
            <wp:extent cx="5486400" cy="2765824"/>
            <wp:docPr id="1" name="Picture 1"/>
            <wp:cNvGraphicFramePr>
              <a:graphicFrameLocks noChangeAspect="1"/>
            </wp:cNvGraphicFramePr>
            <a:graphic>
              <a:graphicData uri="http://schemas.openxmlformats.org/drawingml/2006/picture">
                <pic:pic>
                  <pic:nvPicPr>
                    <pic:cNvPr id="0" name="S 1671-2025 karta.png"/>
                    <pic:cNvPicPr/>
                  </pic:nvPicPr>
                  <pic:blipFill>
                    <a:blip r:embed="rId16"/>
                    <a:stretch>
                      <a:fillRect/>
                    </a:stretch>
                  </pic:blipFill>
                  <pic:spPr>
                    <a:xfrm>
                      <a:off x="0" y="0"/>
                      <a:ext cx="5486400" cy="2765824"/>
                    </a:xfrm>
                    <a:prstGeom prst="rect"/>
                  </pic:spPr>
                </pic:pic>
              </a:graphicData>
            </a:graphic>
          </wp:inline>
        </w:drawing>
      </w:r>
    </w:p>
    <w:p>
      <w:pPr>
        <w:pStyle w:val="Caption"/>
        <w:spacing w:after="240"/>
      </w:pPr>
      <w:r>
        <w:t>Figur 1. Fyndplatser för naturvårdsarter inom 9 meter från samrådsanmälan. Markörer utan svart kant är placerade på fyndplatsen. Markörer med svart kant är placerade vid sidan av fyndplatsen och har ett svart streck som visar fyndplatsens exakta position. Kartans mittpunktskoordinat är N 6387469, E 488264 i SWEREF 99 TM.</w:t>
      </w:r>
    </w:p>
    <w:p>
      <w:r>
        <w:t>Inom 9 meter från samrådsanmälan finns fynd av 4 naturvårdsarter, varav 2 är rödlistade och 4 är fridlysta: brunlångöra (NT, §4a), nordfladdermus (NT, §4a), dvärgpipistrell (§4a) och större brunfladdermus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Brunlångöra (NT, §4a)</w:t>
      </w:r>
      <w:r>
        <w:t xml:space="preserve"> omfattas av bilaga 4 EU:s art- och habitatdirektiv vilket innebär att arten och dess livsmiljöer är strikt skyddade. Brunlångöra förekommer framförallt inne i relativt tät skog men födosöker också i trädgårdar, parker och hagar. Den har minskat med 17,5 (5–30) % under de senaste 21 åren och minskningstakten för den svenska populationen bedöms vara nära gränsvärdet för Sårbar (VU). (A2bc). Brunlångöra är typisk art för </w:t>
      </w:r>
      <w:r>
        <w:rPr>
          <w:i/>
        </w:rPr>
        <w:t>8310 Grottor</w:t>
      </w:r>
      <w:r>
        <w:t xml:space="preserve"> och </w:t>
      </w:r>
      <w:r>
        <w:rPr>
          <w:i/>
        </w:rPr>
        <w:t>8330</w:t>
      </w:r>
      <w:r>
        <w:t xml:space="preserve"> (SLU Artdatabanken, 2024).</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Större brunfladdermus (§4a)</w:t>
      </w:r>
      <w:r>
        <w:t xml:space="preserve"> omfattas av bilaga 4 EU:s art- och habitatdirektiv vilket innebär ett strikt skydd där arten och dess livsmiljöer ska bevaras. Den lever huvudsakligen i större skogsområden med gamla lövträdsbestånd, där den jagar i alla typer av öppna och halvöppna miljöer, ofta över stora sjöar och vattendrag, strandängar, betes- och slåttermarker.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Brunlångöra – ekologi samt krav på livsmiljön</w:t>
      </w:r>
    </w:p>
    <w:p>
      <w:r>
        <w:t>Brunlångöra (NT, §4a) omfattas av bilaga 4 EU:s art- och habitatdirektiv vilket innebär ett strikt skydd för arten och dess livsmiljöer. Den har minskat med 17,5 (5–30) % under de senaste 21 åren och minskningstakten för den svenska populationen bedöms vara nära gränsvärdet för Sårbar (VU). (A2bc) (SLU Artdatabanken, 2024).</w:t>
      </w:r>
    </w:p>
    <w:p>
      <w:r>
        <w:t>Brunlångöra förekommer framförallt inne i relativt tät skog men födosöker också runt hus, i parker, trädgårdar och hagar. Arten har ett mycket karakteristiskt jaktbeteende då den flyger tätt intill vegetationen så som träd och buskar eller lågt över marken där den plockar insekter och spindlar direkt från blad, grenar och grässtrån. Arten kan till och med ryttla, stå stilla i luften med fladdrande vingar. Kolonierna finns ofta i stora byggnader som kyrkor, lador och magasin. Arten påverkas negativt av belysning, och en kraftig minskning har observerats på ett antal koloniplatser i södra Sverige (SLU Artdatabanken, 2024).</w:t>
      </w:r>
    </w:p>
    <w:p>
      <w:r>
        <w:t xml:space="preserve">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Brunlångöra är typisk art för </w:t>
      </w:r>
      <w:r>
        <w:rPr>
          <w:i/>
        </w:rPr>
        <w:t>8310 Grottor</w:t>
      </w:r>
      <w:r>
        <w:t xml:space="preserve"> och </w:t>
      </w:r>
      <w:r>
        <w:rPr>
          <w:i/>
        </w:rPr>
        <w:t>8330 Havsgrottor</w:t>
      </w:r>
      <w:r>
        <w:t xml:space="preserve"> (SLU Artdatabanken, 2024).</w:t>
      </w:r>
    </w:p>
    <w:p>
      <w:pPr>
        <w:pStyle w:val="Heading2"/>
      </w:pPr>
      <w:r>
        <w:t>Referenser – brunlångöra</w:t>
      </w:r>
    </w:p>
    <w:p>
      <w:r>
        <w:t>SLU Artdatabanken, 2024.</w:t>
      </w:r>
      <w:r>
        <w:rPr>
          <w:i/>
        </w:rPr>
        <w:t xml:space="preserve"> Artfakta: brunlångöra (Plecotus auritus). </w:t>
      </w:r>
      <w:r>
        <w:t>https://artfakta.se/taxa/206002</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