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1376-2024 i Nässjö kommun</w:t>
      </w:r>
    </w:p>
    <w:p>
      <w:r>
        <w:t>Denna tillsynsbegäran behandlar höga naturvärden i samrådsanmälan S 1376-2024 i Nässjö kommun som inkom 2024-04-29 och omfattar 59,4 ha.</w:t>
      </w:r>
    </w:p>
    <w:p>
      <w:pPr>
        <w:pStyle w:val="Caption"/>
      </w:pPr>
      <w:r>
        <w:drawing>
          <wp:inline xmlns:a="http://schemas.openxmlformats.org/drawingml/2006/main" xmlns:pic="http://schemas.openxmlformats.org/drawingml/2006/picture">
            <wp:extent cx="5486400" cy="5022601"/>
            <wp:docPr id="1" name="Picture 1"/>
            <wp:cNvGraphicFramePr>
              <a:graphicFrameLocks noChangeAspect="1"/>
            </wp:cNvGraphicFramePr>
            <a:graphic>
              <a:graphicData uri="http://schemas.openxmlformats.org/drawingml/2006/picture">
                <pic:pic>
                  <pic:nvPicPr>
                    <pic:cNvPr id="0" name="S 1376-2024 karta.png"/>
                    <pic:cNvPicPr/>
                  </pic:nvPicPr>
                  <pic:blipFill>
                    <a:blip r:embed="rId16"/>
                    <a:stretch>
                      <a:fillRect/>
                    </a:stretch>
                  </pic:blipFill>
                  <pic:spPr>
                    <a:xfrm>
                      <a:off x="0" y="0"/>
                      <a:ext cx="5486400" cy="5022601"/>
                    </a:xfrm>
                    <a:prstGeom prst="rect"/>
                  </pic:spPr>
                </pic:pic>
              </a:graphicData>
            </a:graphic>
          </wp:inline>
        </w:drawing>
      </w:r>
    </w:p>
    <w:p>
      <w:pPr>
        <w:pStyle w:val="Caption"/>
        <w:spacing w:after="240"/>
      </w:pPr>
      <w:r>
        <w:t>Figur 1. Fyndplatser för naturvårdsarter inom 12 meter från samrådsanmälan. Markörer utan svart kant är placerade på fyndplatsen. Markörer med svart kant är placerade vid sidan av fyndplatsen och har ett svart streck som visar fyndplatsens exakta position. Kartans mittpunktskoordinat är N 6378801, E 478652 i SWEREF 99 TM.</w:t>
      </w:r>
    </w:p>
    <w:p>
      <w:r>
        <w:t>Inom 12 meter från samrådsanmälan finns fynd av 4 naturvårdsarter, varav 1 är rödlistad, 3 är typiska (T) och 3 är signalarter (S): gul dropplav (NT), fällmossa (S, T), gulpudrad spiklav (S, T) och sotlav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 xml:space="preserve">Gul dropplav (NT) </w:t>
      </w:r>
      <w:r>
        <w:t>växer praktiskt taget enbart på gamla, grova ekar i öppna till halvöppna miljöer som glesa ekhagar och lövängar. Antalet gamla grova ekar har minskat och det är viktigt att hålla öppet kring stammar och kronor på grova ekar (SLU Artdatabanken, 2024).</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r>
        <w:rPr>
          <w:b/>
        </w:rPr>
        <w:t>Gulpudrad spiklav</w:t>
      </w:r>
      <w:r>
        <w:t xml:space="preserve"> är en av de viktigaste karaktärsarterna för gamla grova ekar. Den har högt signalvärde och visar på jätteekar som ofta har en rik flora av andra sällsynta lavar. Förekomster på andra substrat än ek visar också på skyddsvärda trädbestånd. Gulpudrad spiklav är typisk art för </w:t>
      </w:r>
      <w:r>
        <w:rPr>
          <w:i/>
        </w:rPr>
        <w:t>9070 Trädklädd betesmark</w:t>
      </w:r>
      <w:r>
        <w:t xml:space="preserve"> och </w:t>
      </w:r>
      <w:r>
        <w:rPr>
          <w:i/>
        </w:rPr>
        <w:t>9160 Näringsrik ekskog</w:t>
      </w:r>
      <w:r>
        <w:t xml:space="preserve"> (Nitare &amp; Skogsstyrelsen, 2019; SLU Artdatabanken, 2025).</w:t>
      </w:r>
    </w:p>
    <w:p>
      <w:r>
        <w:rPr>
          <w:b/>
        </w:rPr>
        <w:t>Sotlav</w:t>
      </w:r>
      <w:r>
        <w:t xml:space="preserve"> är överallt en mycket bra signalart och visar alltid på skogsmiljöer med höga naturvärden. Den indikerar långvarig förekomst av gamla eller döda träd. På lavens växtlokaler finns vanligen många andra ovanliga arter. Sotlav är typisk art för </w:t>
      </w:r>
      <w:r>
        <w:rPr>
          <w:i/>
        </w:rPr>
        <w:t xml:space="preserve">9010 Taiga </w:t>
      </w:r>
      <w:r>
        <w:t>och</w:t>
      </w:r>
      <w:r>
        <w:rPr>
          <w:i/>
        </w:rPr>
        <w:t xml:space="preserve"> 9070 Trädklädd betesmark</w:t>
      </w:r>
      <w:r>
        <w:t xml:space="preserve"> (Nitare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