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53528-2023 i Värnamo kommun</w:t>
      </w:r>
    </w:p>
    <w:p>
      <w:r>
        <w:t>Denna tillsynsbegäran behandlar höga naturvärden i avverkningsanmälan A 53528-2023 i Värnamo kommun som inkom 2023-10-24 och omfattar 1,4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203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53528-2023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03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6343879, E 439664 i SWEREF 99 TM.</w:t>
      </w:r>
    </w:p>
    <w:p>
      <w:r>
        <w:t>I avverkningsanmälan finns fynd av 1 naturvårdsarter, varav 1 är fridlyst: svartvit flugsnappare (§4).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pPr>
        <w:pStyle w:val="Heading1"/>
      </w:pPr>
      <w:r>
        <w:t>EU:s fågeldirektiv</w:t>
      </w:r>
    </w:p>
    <w:p>
      <w:r>
        <w:t xml:space="preserve">Europeiska unionens medlemsländer är skyldiga att agera i enlighet med EU:s fågeldirektiv där det uttryckligen står att direktivet gäller för fåglar samt för deras ägg, bon och </w:t>
      </w:r>
      <w:r>
        <w:rPr>
          <w:b/>
        </w:rPr>
        <w:t xml:space="preserve">livsmiljöer </w:t>
      </w:r>
      <w:r>
        <w:t>(artikel 1). Vidare att de åtgärder som vidtas inte får leda till en försämring av den nuvarande situationen beträffande bevarandet av de fågelarter som avses i artikel 1 (artikel 13). Fågeldirektivet är styrande för tillsynsansvariga myndigheters ärendehantering, ställningstaganden och beslutsfattande.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2026-07-28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