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4-2026 i Värnamo kommun</w:t>
      </w:r>
    </w:p>
    <w:p>
      <w:r>
        <w:t>Detta klagomål behandlar höga naturvärden i samrådsanmälan S 4-2026 i Värnamo kommun som inkom 2025-12-27 och omfattar 160,6 ha.</w:t>
      </w:r>
    </w:p>
    <w:p>
      <w:pPr>
        <w:pStyle w:val="Caption"/>
      </w:pPr>
      <w:r>
        <w:drawing>
          <wp:inline xmlns:a="http://schemas.openxmlformats.org/drawingml/2006/main" xmlns:pic="http://schemas.openxmlformats.org/drawingml/2006/picture">
            <wp:extent cx="5486400" cy="3161750"/>
            <wp:docPr id="1" name="Picture 1"/>
            <wp:cNvGraphicFramePr>
              <a:graphicFrameLocks noChangeAspect="1"/>
            </wp:cNvGraphicFramePr>
            <a:graphic>
              <a:graphicData uri="http://schemas.openxmlformats.org/drawingml/2006/picture">
                <pic:pic>
                  <pic:nvPicPr>
                    <pic:cNvPr id="0" name="S 4-2026 karta.png"/>
                    <pic:cNvPicPr/>
                  </pic:nvPicPr>
                  <pic:blipFill>
                    <a:blip r:embed="rId16"/>
                    <a:stretch>
                      <a:fillRect/>
                    </a:stretch>
                  </pic:blipFill>
                  <pic:spPr>
                    <a:xfrm>
                      <a:off x="0" y="0"/>
                      <a:ext cx="5486400" cy="3161750"/>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6332058, E 432876 i SWEREF 99 TM.</w:t>
      </w:r>
    </w:p>
    <w:p>
      <w:r>
        <w:t>I och inom 19 meter från samrådsanmälan finns fynd av 17 naturvårdsarter, varav 11 är rödlistade, 9 är fridlysta, 6 är typiska (T) och 1 är signalart (S): ask (EN), backsippa (VU, §8), slåttergubbe (VU), entita (NT, T, §4), grynig filtlav (NT, T), grönsångare (NT, §4), jungfrulin (NT), järnsparv (NT, §4), lunglav (NT, T), svinrot (NT), vårstarr (NT), bårdlav (S, T), blåsippa (T, §9), spillkråka (T, §4), utter (§4a), vanlig padda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17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