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51095-2023 i Sävsjö kommun</w:t>
      </w:r>
    </w:p>
    <w:p>
      <w:r>
        <w:t>Denna tillsynsbegäran behandlar höga naturvärden i avverkningsanmälan A 51095-2023 i Sävsjö kommun som inkom 2023-10-19 och omfattar 3,6 ha.</w:t>
      </w:r>
    </w:p>
    <w:p>
      <w:pPr>
        <w:pStyle w:val="Caption"/>
      </w:pPr>
      <w:r>
        <w:drawing>
          <wp:inline xmlns:a="http://schemas.openxmlformats.org/drawingml/2006/main" xmlns:pic="http://schemas.openxmlformats.org/drawingml/2006/picture">
            <wp:extent cx="4998173" cy="5724000"/>
            <wp:docPr id="1" name="Picture 1"/>
            <wp:cNvGraphicFramePr>
              <a:graphicFrameLocks noChangeAspect="1"/>
            </wp:cNvGraphicFramePr>
            <a:graphic>
              <a:graphicData uri="http://schemas.openxmlformats.org/drawingml/2006/picture">
                <pic:pic>
                  <pic:nvPicPr>
                    <pic:cNvPr id="0" name="A 51095-2023 karta.png"/>
                    <pic:cNvPicPr/>
                  </pic:nvPicPr>
                  <pic:blipFill>
                    <a:blip r:embed="rId16"/>
                    <a:stretch>
                      <a:fillRect/>
                    </a:stretch>
                  </pic:blipFill>
                  <pic:spPr>
                    <a:xfrm>
                      <a:off x="0" y="0"/>
                      <a:ext cx="4998173"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6363407, E 484171 i SWEREF 99 TM.</w:t>
      </w:r>
    </w:p>
    <w:p>
      <w:r>
        <w:t>I avverkningsanmälan finns fynd av 1 naturvårdsarter, varav 1 är fridlyst, 1 är typisk (T) och 1 är signalart (S): korallrot (S, T,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Korallrot (§8)</w:t>
      </w:r>
      <w:r>
        <w:t xml:space="preserve"> växer i sumpskogar och annan fuktig eller växelfuktig skogsmark, exempelvis i alkärr och kärrkanter, fuktiga bäckdalar, raviner, myrlaggar, sumpiga strandskogar samt i fuktiga lundar. Den visar på mer eller mindre stabila förhållanden och intakt hydrologi och är känslig för avverkning, körskador, skogsgödsling och dikning. Korallrot är typisk art för </w:t>
      </w:r>
      <w:r>
        <w:rPr>
          <w:i/>
        </w:rPr>
        <w:t>9080 Lövsumpskog</w:t>
      </w:r>
      <w:r>
        <w:t xml:space="preserve"> och fridlyst enligt 8 § artskyddsförordningen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