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2633-2023 i Sävsjö kommun</w:t>
      </w:r>
    </w:p>
    <w:p>
      <w:r>
        <w:t>Denna tillsynsbegäran behandlar höga naturvärden i avverkningsanmälan A 2633-2023 i Sävsjö kommun som inkom 2023-01-16 och omfattar 2,7 ha.</w:t>
      </w:r>
    </w:p>
    <w:p>
      <w:pPr>
        <w:pStyle w:val="Caption"/>
      </w:pPr>
      <w:r>
        <w:drawing>
          <wp:inline xmlns:a="http://schemas.openxmlformats.org/drawingml/2006/main" xmlns:pic="http://schemas.openxmlformats.org/drawingml/2006/picture">
            <wp:extent cx="5486400" cy="4765798"/>
            <wp:docPr id="1" name="Picture 1"/>
            <wp:cNvGraphicFramePr>
              <a:graphicFrameLocks noChangeAspect="1"/>
            </wp:cNvGraphicFramePr>
            <a:graphic>
              <a:graphicData uri="http://schemas.openxmlformats.org/drawingml/2006/picture">
                <pic:pic>
                  <pic:nvPicPr>
                    <pic:cNvPr id="0" name="A 2633-2023 karta.png"/>
                    <pic:cNvPicPr/>
                  </pic:nvPicPr>
                  <pic:blipFill>
                    <a:blip r:embed="rId16"/>
                    <a:stretch>
                      <a:fillRect/>
                    </a:stretch>
                  </pic:blipFill>
                  <pic:spPr>
                    <a:xfrm>
                      <a:off x="0" y="0"/>
                      <a:ext cx="5486400" cy="4765798"/>
                    </a:xfrm>
                    <a:prstGeom prst="rect"/>
                  </pic:spPr>
                </pic:pic>
              </a:graphicData>
            </a:graphic>
          </wp:inline>
        </w:drawing>
      </w:r>
    </w:p>
    <w:p>
      <w:pPr>
        <w:pStyle w:val="Caption"/>
        <w:spacing w:after="240"/>
      </w:pPr>
      <w:r>
        <w:t>Figur 1. Fyndplatser för naturvårdsarter i och inom 16 meter från avverkningsanmälan. Markörer utan svart kant är placerade på fyndplatsen. Markörer med svart kant är placerade vid sidan av fyndplatsen och har ett svart streck som visar fyndplatsens exakta position. Kartans mittpunktskoordinat är N 6362829, E 477176 i SWEREF 99 TM.</w:t>
      </w:r>
    </w:p>
    <w:p>
      <w:r>
        <w:t>I och inom 16 meter från avverkningsanmälan finns fynd av 8 naturvårdsarter, varav 6 är rödlistade, 1 är fridlyst, 2 är typiska (T) och 1 är signalart (S): bredbrämad bastardsvärmare (VU), violettkantad guldvinge (VU), grönsångare (NT, §4), piltecknad fältmätare (NT), väddgökbi (NT), ängsmetallvinge (NT), kornig nållav (S, T) och vitsippa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r>
        <w:rPr>
          <w:b/>
        </w:rPr>
        <w:t xml:space="preserve">Kornig nållav </w:t>
      </w:r>
      <w:r>
        <w:t xml:space="preserve">förekommer i skuggiga miljöer med hög luftfuktighet och påträffas främst i gamla skogar eller på gamla träd. Den signalerar höga naturvärden och på lokalerna finns ofta flera ovanliga och rödlistade arter. Kornig nållav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Vitsippa</w:t>
      </w:r>
      <w:r>
        <w:t xml:space="preserve"> är typisk art för </w:t>
      </w:r>
      <w:r>
        <w:rPr>
          <w:i/>
        </w:rPr>
        <w:t xml:space="preserve">9040 Fjällbjörkskog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