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47348-2025 i Vetlanda kommun</w:t>
      </w:r>
    </w:p>
    <w:p>
      <w:r>
        <w:t>Denna tillsynsbegäran behandlar höga naturvärden i avverkningsanmälan A 47348-2025 i Vetlanda kommun som inkom 2025-09-30 och omfattar 1,5 ha.</w:t>
      </w:r>
    </w:p>
    <w:p>
      <w:pPr>
        <w:pStyle w:val="Caption"/>
      </w:pPr>
      <w:r>
        <w:drawing>
          <wp:inline xmlns:a="http://schemas.openxmlformats.org/drawingml/2006/main" xmlns:pic="http://schemas.openxmlformats.org/drawingml/2006/picture">
            <wp:extent cx="5486400" cy="4609707"/>
            <wp:docPr id="1" name="Picture 1"/>
            <wp:cNvGraphicFramePr>
              <a:graphicFrameLocks noChangeAspect="1"/>
            </wp:cNvGraphicFramePr>
            <a:graphic>
              <a:graphicData uri="http://schemas.openxmlformats.org/drawingml/2006/picture">
                <pic:pic>
                  <pic:nvPicPr>
                    <pic:cNvPr id="0" name="A 47348-2025 karta.png"/>
                    <pic:cNvPicPr/>
                  </pic:nvPicPr>
                  <pic:blipFill>
                    <a:blip r:embed="rId16"/>
                    <a:stretch>
                      <a:fillRect/>
                    </a:stretch>
                  </pic:blipFill>
                  <pic:spPr>
                    <a:xfrm>
                      <a:off x="0" y="0"/>
                      <a:ext cx="5486400" cy="460970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6364631, E 517111 i SWEREF 99 TM.</w:t>
      </w:r>
    </w:p>
    <w:p>
      <w:r>
        <w:t>I och inom 6 meter från avverkningsanmälan finns fynd av 6 naturvårdsarter, varav 2 är rödlistade, 2 är fridlysta, 5 är typiska (T) och 2 är signalarter (S): slåttergubbe (VU), motaggsvamp (NT, T), blåmossa (S, T), grönpyrola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blåmossa (S, T), grönpyrola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