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storspov (EN, §4), tornseglare (EN, §4), årta (EN, §4), backsvala (VU, §4), bläsand (VU, §4), brushane (VU, §4), hussvala (VU, §4), kricka (VU, §4), kungsfiskare (VU, §4), stare (VU, §4), tofsvipa (VU, §4), buskskvätta (NT, §4), drillsnäppa (NT, §4), fiskmås (NT, §4), gulsparv (NT, §4), kråka (NT, §4), rödvingetrast (NT, §4), skedand (NT, §4), skrattmås (NT, §4), sävsparv (NT, §4), enkelbeckasin (§4), gröngöling (§4), göktyta (§4), röd glada (§4), skogsduva (§4), trana (§4) och törnskata (§4). Av dessa är 20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storspov (EN, §4), tornseglare (EN, §4), årta (EN, §4), backsvala (VU, §4), bläsand (VU, §4), brushane (VU, §4), hussvala (VU, §4), kricka (VU, §4), kungsfiskare (VU, §4), stare (VU, §4), tofsvipa (VU, §4), buskskvätta (NT, §4), drillsnäppa (NT, §4), fiskmås (NT, §4), gulsparv (NT, §4), kråka (NT, §4), rödvingetrast (NT, §4), skedand (NT, §4), skrattmås (NT, §4), sävsparv (NT, §4), enkelbeckasin (§4), gröngöling (§4), göktyta (§4), röd glada (§4), skogsduva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