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19201-2023 i Vetlanda kommun</w:t>
      </w:r>
    </w:p>
    <w:p>
      <w:r>
        <w:t>Detta dokument behandlar höga naturvärden i avverkningsanmälan A 19201-2023 i Vetlanda kommun. Denna avverkningsanmälan inkom 2023-05-02 00:00:00 och omfattar 4,6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backsippa (VU, §8) och kryddspindling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2618"/>
            <wp:docPr id="1" name="Picture 1"/>
            <wp:cNvGraphicFramePr>
              <a:graphicFrameLocks noChangeAspect="1"/>
            </wp:cNvGraphicFramePr>
            <a:graphic>
              <a:graphicData uri="http://schemas.openxmlformats.org/drawingml/2006/picture">
                <pic:pic>
                  <pic:nvPicPr>
                    <pic:cNvPr id="0" name="A 19201-2023 karta.png"/>
                    <pic:cNvPicPr/>
                  </pic:nvPicPr>
                  <pic:blipFill>
                    <a:blip r:embed="rId16"/>
                    <a:stretch>
                      <a:fillRect/>
                    </a:stretch>
                  </pic:blipFill>
                  <pic:spPr>
                    <a:xfrm>
                      <a:off x="0" y="0"/>
                      <a:ext cx="5486400" cy="37326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6365722, E 523853 i SWEREF 99 TM.</w:t>
      </w:r>
    </w:p>
    <w:p>
      <w:r>
        <w:rPr>
          <w:b/>
        </w:rPr>
        <w:t>Kryddspindling (NT)</w:t>
      </w:r>
      <w:r>
        <w:t xml:space="preserve"> signalerar örtrika granskogar som normalt har höga naturvärden. Oftast växer den i äldre granskog på kalkrikt underlag och svampen är en mycket användbar signalart för denna miljö. Den utgör en viktig karaktärsart för all äldre kalkbarrskog med lång trädkontinuitet av gran. På lokalerna förekommer nästan alltid många ovanliga och rödlistade arter. Den totala populationen i landet har minskat och bedöms fortsätta minska till följd av avverkning av äldre barrskogar. Kryddspindling är typisk art för </w:t>
      </w:r>
      <w:r>
        <w:rPr>
          <w:i/>
        </w:rPr>
        <w:t xml:space="preserve">9050 Näringsrik granskog </w:t>
      </w:r>
      <w:r>
        <w:t>(Nitare &amp; Skogsstyrelsen, 2000; SLU Artdatabanken, 2026).</w:t>
      </w:r>
    </w:p>
    <w:p>
      <w:pPr>
        <w:pStyle w:val="Heading1"/>
      </w:pPr>
      <w:r>
        <w:t>Fridlysta arter</w:t>
      </w:r>
    </w:p>
    <w:p>
      <w:r>
        <w:t>Följande fridlysta arter har sina livsmiljöer och växtplatser i den avverkningsanmälda skogen: backsippa (VU,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