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69070-2020 i Vetlanda kommun</w:t>
      </w:r>
    </w:p>
    <w:p>
      <w:r>
        <w:t>Detta dokument behandlar höga naturvärden i avverkningsanmälan A 69070-2020 i Vetlanda kommun. Denna avverkningsanmälan inkom 2020-12-22 och omfattar 4,2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gropticka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339502"/>
            <wp:docPr id="1" name="Picture 1"/>
            <wp:cNvGraphicFramePr>
              <a:graphicFrameLocks noChangeAspect="1"/>
            </wp:cNvGraphicFramePr>
            <a:graphic>
              <a:graphicData uri="http://schemas.openxmlformats.org/drawingml/2006/picture">
                <pic:pic>
                  <pic:nvPicPr>
                    <pic:cNvPr id="0" name="A 69070-2020 karta.png"/>
                    <pic:cNvPicPr/>
                  </pic:nvPicPr>
                  <pic:blipFill>
                    <a:blip r:embed="rId16"/>
                    <a:stretch>
                      <a:fillRect/>
                    </a:stretch>
                  </pic:blipFill>
                  <pic:spPr>
                    <a:xfrm>
                      <a:off x="0" y="0"/>
                      <a:ext cx="5486400" cy="4339502"/>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6372924, E 507343 i SWEREF 99 TM.</w:t>
      </w:r>
    </w:p>
    <w:p>
      <w:r>
        <w:rPr>
          <w:b/>
        </w:rPr>
        <w:t>Gropticka (NT)</w:t>
      </w:r>
      <w:r>
        <w:t xml:space="preserve"> är en bra signalart som visar på skyddsvärda barrskogar i södra halvan av landet och kan betraktas som en sydlig ”urskogsindikator” eller gammelskogsindikator. Skogsbestånd där gropticka återfinns bör lämnas till fri utveckling. För att bibehålla arten i landet på sikt krävs att fler områden med gammal barrskog skyddas i Götaland och Svealand (SLU Artdatabanken, 2024;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2025-02-24</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