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29114-2023 i Vetlanda kommun</w:t>
      </w:r>
    </w:p>
    <w:p>
      <w:r>
        <w:t>Detta dokument behandlar höga naturvärden i avverkningsanmälan A 29114-2023 i Vetlanda kommun. Denna avverkningsanmälan inkom 2023-06-20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storspov (EN, §4), årta (EN, §4), bläsand (VU, §4), brushane (VU, §4), hussvala (VU, §4), kricka (VU, §4), kungsfiskare (VU, §4), tofsvipa (VU, §4), buskskvätta (NT, §4), drillsnäppa (NT, §4), fiskmås (NT, §4), skedand (NT, §4), skrattmås (NT, §4), sävsparv (NT, §4), enkelbeckasin (§4), gröngöling (§4), röd glada (§4), skogsduva (§4), trana (§4) och törnskata (§4).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6358476, E 521940 i SWEREF 99 TM.</w:t>
      </w:r>
    </w:p>
    <w:p>
      <w:pPr>
        <w:pStyle w:val="Heading1"/>
      </w:pPr>
      <w:r>
        <w:t>Fridlysta arter</w:t>
      </w:r>
    </w:p>
    <w:p>
      <w:r>
        <w:t>Följande fridlysta arter har sina livsmiljöer och växtplatser i den avverkningsanmälda skogen: storspov (EN, §4), årta (EN, §4), bläsand (VU, §4), brushane (VU, §4), hussvala (VU, §4), kricka (VU, §4), kungsfiskare (VU, §4), tofsvipa (VU, §4), buskskvätta (NT, §4), drillsnäppa (NT, §4), fiskmås (NT, §4), skedand (NT, §4), skrattmås (NT, §4), sävsparv (NT, §4), enkelbeckasin (§4), gröngöling (§4), röd glada (§4), skogsduva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