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871-2026 i Vetlanda kommun</w:t>
      </w:r>
    </w:p>
    <w:p>
      <w:r>
        <w:t>Detta klagomål behandlar höga naturvärden i samrådsanmälan S 871-2026 i Vetlanda kommun som inkom 2026-03-26 och omfattar 9,8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S 871-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6345084, E 514413 i SWEREF 99 TM.</w:t>
      </w:r>
    </w:p>
    <w:p>
      <w:r>
        <w:t>I samrådsanmälan finns fynd av 7 naturvårdsarter, varav 2 är rödlistade, 1 är fridlyst, 2 är typiska (T) och 4 är signalarter (S): gropig brunbagge (NT), kolsvart trädbasbagge (NT), björksplintborre (S), Dorcatoma dresdensis (S), mindre märgborre (S, T), Thymalus limbatus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 xml:space="preserve">Kolsvart trädbasbagge (NT) </w:t>
      </w:r>
      <w:r>
        <w:t>är en skalbagge vars larvutveckling sker under torr, svampangripen bark på brända stammar av lövträd och barrträd, i Sverige främst branddödad björk med skiktdyna (</w:t>
      </w:r>
      <w:r>
        <w:rPr>
          <w:i/>
        </w:rPr>
        <w:t>Daldinia concentrica)</w:t>
      </w:r>
      <w:r>
        <w:t>, men även på gran, al och ek. Arten påverkas negativt av brist på brandsuccessioner i skog</w:t>
      </w:r>
      <w:r>
        <w:rPr>
          <w:b/>
        </w:rPr>
        <w:t xml:space="preserve"> </w:t>
      </w:r>
      <w:r>
        <w:t>och en minskning av populationen pågår eller förväntas ske (SLU Artdatabanken, 2025).</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