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2861-2023 i Vetlanda kommun</w:t>
      </w:r>
    </w:p>
    <w:p>
      <w:r>
        <w:t>Detta klagomål behandlar höga naturvärden i samrådsanmälan S 2861-2023 i Vetlanda kommun som inkom 2023-08-30 och omfattar 34,4 ha.</w:t>
      </w:r>
    </w:p>
    <w:p>
      <w:pPr>
        <w:pStyle w:val="Caption"/>
      </w:pPr>
      <w:r>
        <w:drawing>
          <wp:inline xmlns:a="http://schemas.openxmlformats.org/drawingml/2006/main" xmlns:pic="http://schemas.openxmlformats.org/drawingml/2006/picture">
            <wp:extent cx="5486400" cy="3152323"/>
            <wp:docPr id="1" name="Picture 1"/>
            <wp:cNvGraphicFramePr>
              <a:graphicFrameLocks noChangeAspect="1"/>
            </wp:cNvGraphicFramePr>
            <a:graphic>
              <a:graphicData uri="http://schemas.openxmlformats.org/drawingml/2006/picture">
                <pic:pic>
                  <pic:nvPicPr>
                    <pic:cNvPr id="0" name="S 2861-2023 karta.png"/>
                    <pic:cNvPicPr/>
                  </pic:nvPicPr>
                  <pic:blipFill>
                    <a:blip r:embed="rId16"/>
                    <a:stretch>
                      <a:fillRect/>
                    </a:stretch>
                  </pic:blipFill>
                  <pic:spPr>
                    <a:xfrm>
                      <a:off x="0" y="0"/>
                      <a:ext cx="5486400" cy="3152323"/>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6353888, E 527785 i SWEREF 99 TM.</w:t>
      </w:r>
    </w:p>
    <w:p>
      <w:r>
        <w:t>I och inom 21 meter från samrådsanmälan finns fynd av 7 naturvårdsarter, varav 4 är rödlistade, 3 är fridlysta och 2 är typiska (T): bredbrämad bastardsvärmare (VU), berggräsfjäril (NT), sårläka (NT, T), tennfibbla (NT), blåsippa (T, §9), grönvit nattviol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