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29114-2023 i Vetlanda kommun</w:t>
      </w:r>
    </w:p>
    <w:p>
      <w:r>
        <w:t>Detta klagomål behandlar höga naturvärden i avverkningsanmälan A 29114-2023 i Vetlanda kommun som inkom 2023-06-20 och omfattar 4,0 ha.</w:t>
      </w:r>
    </w:p>
    <w:p>
      <w:pPr>
        <w:pStyle w:val="Caption"/>
      </w:pPr>
      <w:r>
        <w:drawing>
          <wp:inline xmlns:a="http://schemas.openxmlformats.org/drawingml/2006/main" xmlns:pic="http://schemas.openxmlformats.org/drawingml/2006/picture">
            <wp:extent cx="5486400" cy="4906400"/>
            <wp:docPr id="1" name="Picture 1"/>
            <wp:cNvGraphicFramePr>
              <a:graphicFrameLocks noChangeAspect="1"/>
            </wp:cNvGraphicFramePr>
            <a:graphic>
              <a:graphicData uri="http://schemas.openxmlformats.org/drawingml/2006/picture">
                <pic:pic>
                  <pic:nvPicPr>
                    <pic:cNvPr id="0" name="A 29114-2023 karta.png"/>
                    <pic:cNvPicPr/>
                  </pic:nvPicPr>
                  <pic:blipFill>
                    <a:blip r:embed="rId16"/>
                    <a:stretch>
                      <a:fillRect/>
                    </a:stretch>
                  </pic:blipFill>
                  <pic:spPr>
                    <a:xfrm>
                      <a:off x="0" y="0"/>
                      <a:ext cx="5486400" cy="490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6358476, E 521940 i SWEREF 99 TM.</w:t>
      </w:r>
    </w:p>
    <w:p>
      <w:r>
        <w:t>I avverkningsanmälan finns fynd av 33 naturvårdsarter, varav 22 är rödlistade och 33 är fridlysta: backsvala (EN, §4), storspov (EN, §4), årta (EN, §4), brushane (VU, §4), hussvala (VU, §4), stare (VU, §4), tofsvipa (VU, §4), tornseglare (VU, §4), bivråk (NT, §4), bläsand (NT, §4), drillsnäppa (NT, §4), enkelbeckasin (NT, §4), gulsparv (NT, §4), göktyta (NT, §4), kricka (NT, §4), kungsfiskare (NT, §4), ladusvala (NT, §4), mosnäppa (NT, §4), rödvingetrast (NT, §4), skrattmås (NT, §4), svartsnäppa (NT, §4), sädesärla (NT, §4), buskskvätta (§4), fiskmås (§4), gröngöling (§4), havsörn (§4), kråka (§4), röd glada (§4), skedand (§4), skogsduva (§4), sävsparv (§4), trana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