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61805-2025 i Vetlanda kommun</w:t>
      </w:r>
    </w:p>
    <w:p>
      <w:r>
        <w:t>Detta klagomål behandlar höga naturvärden i avverkningsanmälan A 61805-2025 i Vetlanda kommun som inkom 2025-12-11 och omfattar 6,7 ha.</w:t>
      </w:r>
    </w:p>
    <w:p>
      <w:pPr>
        <w:pStyle w:val="Caption"/>
      </w:pPr>
      <w:r>
        <w:drawing>
          <wp:inline xmlns:a="http://schemas.openxmlformats.org/drawingml/2006/main" xmlns:pic="http://schemas.openxmlformats.org/drawingml/2006/picture">
            <wp:extent cx="5486400" cy="5346883"/>
            <wp:docPr id="1" name="Picture 1"/>
            <wp:cNvGraphicFramePr>
              <a:graphicFrameLocks noChangeAspect="1"/>
            </wp:cNvGraphicFramePr>
            <a:graphic>
              <a:graphicData uri="http://schemas.openxmlformats.org/drawingml/2006/picture">
                <pic:pic>
                  <pic:nvPicPr>
                    <pic:cNvPr id="0" name="A 61805-2025 karta.png"/>
                    <pic:cNvPicPr/>
                  </pic:nvPicPr>
                  <pic:blipFill>
                    <a:blip r:embed="rId16"/>
                    <a:stretch>
                      <a:fillRect/>
                    </a:stretch>
                  </pic:blipFill>
                  <pic:spPr>
                    <a:xfrm>
                      <a:off x="0" y="0"/>
                      <a:ext cx="5486400" cy="5346883"/>
                    </a:xfrm>
                    <a:prstGeom prst="rect"/>
                  </pic:spPr>
                </pic:pic>
              </a:graphicData>
            </a:graphic>
          </wp:inline>
        </w:drawing>
      </w:r>
    </w:p>
    <w:p>
      <w:pPr>
        <w:pStyle w:val="Caption"/>
        <w:spacing w:after="240"/>
      </w:pPr>
      <w:r>
        <w:t>Figur 1. Fyndplatser för naturvårdsarter i och inom 10 meter från avverkningsanmälan. Markörer utan svart kant är placerade på fyndplatsen. Markörer med svart kant är placerade vid sidan av fyndplatsen och har ett svart streck som visar fyndplatsens exakta position. Kartans mittpunktskoordinat är N 6368154, E 522063 i SWEREF 99 TM.</w:t>
      </w:r>
    </w:p>
    <w:p>
      <w:r>
        <w:t>I och inom 10 meter från avverkningsanmälan finns fynd av 4 naturvårdsarter, varav 3 är typiska (T) och 4 är signalarter (S): bronshjon (S, T), granbarkgnagare (S, T), gulnål (S, T) och vågbandad barkbock (S).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 xml:space="preserve">Granbarkgnagare </w:t>
      </w:r>
      <w:r>
        <w:t xml:space="preserve">är en skalbagge vars larvutveckling sker i den tjocka ytterbarken på gamla och mycket grova levande granar. Man lägger lätt märke till angreppen på träden eftersom flera grova kläckhål ligger ganska tätt intill varandra på de grövre barkåsarna. Kläckhålen är runda och ca 1,5 mm breda. Granbarkgnagare är typisk art för </w:t>
      </w:r>
      <w:r>
        <w:rPr>
          <w:i/>
        </w:rPr>
        <w:t xml:space="preserve">9010 Taiga </w:t>
      </w:r>
      <w:r>
        <w:t>(Ehnström, 2002; SLU Artdatabanken, 2025).</w:t>
      </w:r>
    </w:p>
    <w:p>
      <w:r>
        <w:rPr>
          <w:b/>
        </w:rPr>
        <w:t>Gulnål</w:t>
      </w:r>
      <w:r>
        <w:t xml:space="preserve"> växer mest på murknande lövträdsved och barrträdsved och förekommer i skuggiga miljöer med hög luftfuktighet. I södra Sverige är den en relativt bra signal på biotoper med höga naturvärden och följs ofta av sällsynta arter. Gulnål är typisk art för </w:t>
      </w:r>
      <w:r>
        <w:rPr>
          <w:i/>
        </w:rPr>
        <w:t>9110 Näringsfattig bokskog</w:t>
      </w:r>
      <w:r>
        <w:t xml:space="preserve"> och</w:t>
      </w:r>
      <w:r>
        <w:rPr>
          <w:i/>
        </w:rPr>
        <w:t xml:space="preserve"> 9130 Näringsrik bokskog </w:t>
      </w:r>
      <w:r>
        <w:t>(Nitare &amp; Skogsstyrelsen, 2019; SLU Artdatabanken, 2025).</w:t>
      </w:r>
    </w:p>
    <w:p>
      <w:r>
        <w:rPr>
          <w:b/>
        </w:rPr>
        <w:t xml:space="preserve">Vågbandad barkbock </w:t>
      </w:r>
      <w:r>
        <w:t>är en långhorning vars larvutveckling sker under bark på nyligen döda stående barrträd, främst gran, mer undantagsvis på tall. Främst i stående träd, särskilt gamla, långsamvuxna granar med grov bark, även i grövre grenar, stubbar eller vindfällen. Arten är starkt knuten till naturskogsliknande granskogar, och gynnas av extrema torrsomrar som försvagar träden. Arten påverkas negativt av brist på kontinuitetsskog och en minskning av populationen pågår eller förväntas ske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