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46781-2024 i Vetlanda kommun</w:t>
      </w:r>
    </w:p>
    <w:p>
      <w:r>
        <w:t>Denna tillsynsbegäran behandlar höga naturvärden i avverkningsanmälan A 46781-2024 i Vetlanda kommun som inkom 2024-10-18 och omfattar 1,1 ha.</w:t>
      </w:r>
    </w:p>
    <w:p>
      <w:pPr>
        <w:pStyle w:val="Caption"/>
      </w:pPr>
      <w:r>
        <w:drawing>
          <wp:inline xmlns:a="http://schemas.openxmlformats.org/drawingml/2006/main" xmlns:pic="http://schemas.openxmlformats.org/drawingml/2006/picture">
            <wp:extent cx="5486400" cy="5682478"/>
            <wp:docPr id="1" name="Picture 1"/>
            <wp:cNvGraphicFramePr>
              <a:graphicFrameLocks noChangeAspect="1"/>
            </wp:cNvGraphicFramePr>
            <a:graphic>
              <a:graphicData uri="http://schemas.openxmlformats.org/drawingml/2006/picture">
                <pic:pic>
                  <pic:nvPicPr>
                    <pic:cNvPr id="0" name="A 46781-2024 karta.png"/>
                    <pic:cNvPicPr/>
                  </pic:nvPicPr>
                  <pic:blipFill>
                    <a:blip r:embed="rId16"/>
                    <a:stretch>
                      <a:fillRect/>
                    </a:stretch>
                  </pic:blipFill>
                  <pic:spPr>
                    <a:xfrm>
                      <a:off x="0" y="0"/>
                      <a:ext cx="5486400" cy="5682478"/>
                    </a:xfrm>
                    <a:prstGeom prst="rect"/>
                  </pic:spPr>
                </pic:pic>
              </a:graphicData>
            </a:graphic>
          </wp:inline>
        </w:drawing>
      </w:r>
    </w:p>
    <w:p>
      <w:pPr>
        <w:pStyle w:val="Caption"/>
        <w:spacing w:after="240"/>
      </w:pPr>
      <w:r>
        <w:t>Figur 1. Fyndplatser för naturvårdsarter i och inom 22 meter från avverkningsanmälan. Markörer utan svart kant är placerade på fyndplatsen. Markörer med svart kant är placerade vid sidan av fyndplatsen har ett svart streck som visar fyndplatsens exakta position. Kartans mittpunktskoordinat är N 6367756, E 519962 i SWEREF 99 TM.</w:t>
      </w:r>
    </w:p>
    <w:p>
      <w:r>
        <w:t>I och inom 22 meter från avverkningsanmälan finns fynd av 3 naturvårdsarter, varav 2 är rödlistade och 2 är fridlysta: ask (EN), nordfladdermus (NT, §4a) och vattenfladdermus (§4a).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Ask (EN)</w:t>
      </w:r>
      <w:r>
        <w:t xml:space="preserve"> växer naturligt på frisk till fuktig, näringsrik, mullrik mark, gärna med rörligt, ytnära grundvatten. Asken är mycket viktig för den biologiska mångfalden och den är värd för minst 213 arter i olika organismgrupper, av vilka åtminstone 42 är askspecialister, ytterligare 8 arter förekommer endast på ask och alm. Bland dessa kan nämnas asknätfjäril (EN, §4a), askvårtlav (EN) och askpraktbagge (NT). Det finns en ökad risk att dessa arter försvinner när populationen av ask minskar. Asken är kraftigt drabbad av askskottsjukan, men angripna askar bör inte avverkas eftersom det är så många andra arter knutna till ask, såväl till döda som till levande träd. Eftersom sjukdomen är vindspridd så finns den redan nästan överallt där det finns askar, och till skillnad från almsjukan så förhindrar eller försvårar man inte spridningen genom att ta bort träd. Asken är globalt rödlistad som nära hotad (NT) vilket medför ett internationellt ansvar för arten (SLU Artdatabanken, 2026; IUCN, 2017).</w:t>
      </w:r>
    </w:p>
    <w:p>
      <w:r>
        <w:rPr>
          <w:b/>
        </w:rPr>
        <w:t>Nordfladdermus (NT, §4a)</w:t>
      </w:r>
      <w:r>
        <w:t xml:space="preserve"> omfattas av bilaga 4 EU:s art- och habitatdirektiv vilket innebär ett strikt skydd där arten och dess livsmiljöer ska bevaras. 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Nordfladdermus har minskat med 27,5 (5–50) % under de senaste 21 åren och minskningstakten för den svenska populationen bedöms vara nära gränsvärdet för Sårbar (VU). (A2bc) (SLU Artdatabanken, 2024; Skogsstyrelsen, 2016).</w:t>
      </w:r>
    </w:p>
    <w:p>
      <w:r>
        <w:rPr>
          <w:b/>
        </w:rPr>
        <w:t>Vattenfladdermus (§4a)</w:t>
      </w:r>
      <w:r>
        <w:t xml:space="preserve"> omfattas av bilaga 4 EU:s art- och habitatdirektiv vilket innebär ett strikt skydd där arten och dess livsmiljöer ska bevaras. Arten förekommer mest vid vatten, vid både sjöar och vattendrag där den födosöker antingen tätt ovanför vattenytan eller i strandskog. Kolonin kan ligga ganska långt från vatten och den kan ibland jaga i skog flera kilometer från vatten. För vattenfladdermusen bör framförallt åtgärder planeras och vidtas i strandnära områden. Sumpskog och hålträd behöver bevaras och återskapas. Gamla träd med grov bark, skador, håligheter eller döda delar bör lämnas och yngre träd (efterträdare) tillåtas finnas kvar och åldras för att säkra framtida förekomst av lämpliga yngelmiljöer. Övervintringsplatser måste skyddas effektivt från störningar. Vattenfladdermus är typisk art för </w:t>
      </w:r>
      <w:r>
        <w:rPr>
          <w:i/>
        </w:rPr>
        <w:t>8310 Grottor</w:t>
      </w:r>
      <w:r>
        <w:t xml:space="preserve"> och </w:t>
      </w:r>
      <w:r>
        <w:rPr>
          <w:i/>
        </w:rPr>
        <w:t>8330 Havsgrottor</w:t>
      </w:r>
      <w:r>
        <w:t xml:space="preserve"> (SLU Artdatabanken, 2025).</w:t>
      </w:r>
    </w:p>
    <w:p>
      <w:r>
        <w:br w:type="page"/>
      </w:r>
    </w:p>
    <w:p>
      <w:pPr>
        <w:pStyle w:val="Title"/>
      </w:pPr>
      <w:r>
        <w:t>BILAGA 1 – Fridlysta arter</w:t>
      </w:r>
    </w:p>
    <w:p>
      <w:pPr>
        <w:pStyle w:val="Heading1"/>
      </w:pPr>
      <w:r>
        <w:t>Nordfladdermus – ekologi samt krav på livsmiljön</w:t>
      </w:r>
    </w:p>
    <w:p>
      <w:r>
        <w:t>Nordfladdermus (NT, §4a) omfattas av bilaga 4 EU:s art- och habitatdirektiv vilket innebär ett strikt skydd för arten och dess livsmiljöer. Arten har minskat med 27,5 (5–50) % under de senaste 21 åren och minskningstakten för den svenska populationen bedöms vara nära gränsvärdet för Sårbar (VU). (A2bc) (SLU Artdatabanken, 2024).</w:t>
      </w:r>
    </w:p>
    <w:p>
      <w:r>
        <w:t>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nordfladdermus</w:t>
      </w:r>
    </w:p>
    <w:p>
      <w:r>
        <w:t xml:space="preserve">Skogsstyrelsen, 2016. </w:t>
      </w:r>
      <w:r>
        <w:rPr>
          <w:i/>
        </w:rPr>
        <w:t xml:space="preserve">Vägledning för hänsyn till nordfladdermus. </w:t>
      </w:r>
      <w:r>
        <w:t>Vägledningar och kunskapsstöd artskydd - Skogsstyrelsen</w:t>
      </w:r>
    </w:p>
    <w:p>
      <w:r>
        <w:t>SLU Artdatabanken, 2024.</w:t>
      </w:r>
      <w:r>
        <w:rPr>
          <w:i/>
        </w:rPr>
        <w:t xml:space="preserve">  Artfakta: nordfladdermus (Eptesicus nilssonii). </w:t>
      </w:r>
      <w:r>
        <w:t>https://artfakta.se/taxa/205998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