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25708-2026 i Vetlanda kommun</w:t>
      </w:r>
    </w:p>
    <w:p>
      <w:r>
        <w:t>Denna tillsynsbegäran behandlar höga naturvärden i avverkningsanmälan A 25708-2026 i Vetlanda kommun som inkom 2026-06-05 och omfattar 4,6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25708-2026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6365523, E 495143 i SWEREF 99 TM.</w:t>
      </w:r>
    </w:p>
    <w:p>
      <w:r>
        <w:t>I och inom 20 meter från avverkningsanmälan finns fynd av 16 naturvårdsarter, varav 3 är rödlistade, 3 är fridlysta, 12 är typiska (T) och 11 är signalarter (S): knärot (VU, T, §8), svinrot (NT), talltita (NT, §4), blåsfliksmossa (S, T), fällmossa (S, T), granbarkgnagare (S, T), gulnål (S, T), kornig nållav (S, T), platt fjädermossa (S, T), stenporella (S, T), stubbspretmossa (S, T), svart trolldruva (S, T), västlig hakmossa (S), vågbandad barkbock (S), blåsippa (T, §9) och krushättemossa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25708-2026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6365523, E 495143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blåsfliksmossa (S, T), fällmossa (S, T), granbarkgnagare (S, T), gulnål (S, T), kornig nållav (S, T), platt fjädermossa (S, T), stenporella (S, T), stubbspretmossa (S, T), svart trolldruva (S, T), blåsippa (T, §9) och krushättemossa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