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6777-2024 i Vetlanda kommun</w:t>
      </w:r>
    </w:p>
    <w:p>
      <w:r>
        <w:t>Detta dokument behandlar höga naturvärden i avverkningsanmälan A 6777-2024 i Vetlanda kommun. Denna avverkningsanmälan inkom 2024-02-20 00:00:00 och omfattar 1,0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strutbräken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08302"/>
            <wp:docPr id="1" name="Picture 1"/>
            <wp:cNvGraphicFramePr>
              <a:graphicFrameLocks noChangeAspect="1"/>
            </wp:cNvGraphicFramePr>
            <a:graphic>
              <a:graphicData uri="http://schemas.openxmlformats.org/drawingml/2006/picture">
                <pic:pic>
                  <pic:nvPicPr>
                    <pic:cNvPr id="0" name="A 6777-2024 karta.png"/>
                    <pic:cNvPicPr/>
                  </pic:nvPicPr>
                  <pic:blipFill>
                    <a:blip r:embed="rId16"/>
                    <a:stretch>
                      <a:fillRect/>
                    </a:stretch>
                  </pic:blipFill>
                  <pic:spPr>
                    <a:xfrm>
                      <a:off x="0" y="0"/>
                      <a:ext cx="5486400" cy="47083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6350339, E 527355 i SWEREF 99 TM.</w:t>
      </w:r>
    </w:p>
    <w:p>
      <w:r>
        <w:rPr>
          <w:b/>
        </w:rPr>
        <w:t xml:space="preserve">Strutbräken </w:t>
      </w:r>
      <w:r>
        <w:t>är normalt en mycket bra och tydlig signalart som visar på flera olika fuktiga biotoper med rörligt markvatten som nästan alltid har höga naturvärden. Den växer på skuggiga, fuktiga, näringsrika mullmarker längs bäckdalar, åar, älvar, översilade sluttningar med högörtsgranskog och svämlövskogar med kortvarigt översvämmade sedimentplan. Växtplatserna har ytligt rörligt markvatten och konstant hög luftfuktighet. Arten är känslig för avverkning och dikning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