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03-2020 i Vetland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