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3-2019 i Vetland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