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1-2019 i Vetland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