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4820-2024 i Vetlanda kommun</w:t>
      </w:r>
    </w:p>
    <w:p>
      <w:r>
        <w:t>Denna tillsynsbegäran behandlar höga naturvärden i samrådsanmälan S 4820-2024 i Vetlanda kommun som inkom 2024-11-18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656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82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56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6373398, E 504338 i SWEREF 99 TM.</w:t>
      </w:r>
    </w:p>
    <w:p>
      <w:r>
        <w:t>I samrådsanmälan finns fynd av 1 naturvårdsarter, varav 1 är typisk (T) och 1 är signalart (S): guldlockmossa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Guldlockmossa</w:t>
      </w:r>
      <w:r>
        <w:t xml:space="preserve"> växer på solexponerade, basiska klippor och block samt på skrovlig bark vid basen av ädellövträd med rik bark, ofta på gamla ekar, bokar och andra ädellövträd som står öppet i bryn. Särskilt högt signalvärde har den i norra Sverige där den sällsynt kan påträffas i sydväxtberg på klippor med basiska bergarter. Guldlockmossa är typisk art för </w:t>
      </w:r>
      <w:r>
        <w:rPr>
          <w:i/>
        </w:rPr>
        <w:t xml:space="preserve">9110 Näringsfattig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