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11238-2024 i Vetlanda kommun</w:t>
      </w:r>
    </w:p>
    <w:p>
      <w:r>
        <w:t>Denna tillsynsbegäran behandlar höga naturvärden i avverkningsanmälan A 11238-2024 i Vetlanda kommun som inkom 2024-03-20 och omfattar 35,1 ha.</w:t>
      </w:r>
    </w:p>
    <w:p>
      <w:pPr>
        <w:pStyle w:val="Caption"/>
      </w:pPr>
      <w:r>
        <w:drawing>
          <wp:inline xmlns:a="http://schemas.openxmlformats.org/drawingml/2006/main" xmlns:pic="http://schemas.openxmlformats.org/drawingml/2006/picture">
            <wp:extent cx="5486400" cy="3129699"/>
            <wp:docPr id="1" name="Picture 1"/>
            <wp:cNvGraphicFramePr>
              <a:graphicFrameLocks noChangeAspect="1"/>
            </wp:cNvGraphicFramePr>
            <a:graphic>
              <a:graphicData uri="http://schemas.openxmlformats.org/drawingml/2006/picture">
                <pic:pic>
                  <pic:nvPicPr>
                    <pic:cNvPr id="0" name="A 11238-2024 karta.png"/>
                    <pic:cNvPicPr/>
                  </pic:nvPicPr>
                  <pic:blipFill>
                    <a:blip r:embed="rId16"/>
                    <a:stretch>
                      <a:fillRect/>
                    </a:stretch>
                  </pic:blipFill>
                  <pic:spPr>
                    <a:xfrm>
                      <a:off x="0" y="0"/>
                      <a:ext cx="5486400" cy="312969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6364350, E 520546 i SWEREF 99 TM.</w:t>
      </w:r>
    </w:p>
    <w:p>
      <w:r>
        <w:t>I och inom 16 meter från avverkningsanmälan finns fynd av 15 naturvårdsarter, varav 10 är rödlistade, 2 är fridlysta, 4 är typiska (T) och 2 är signalarter (S): ask (EN), backklöver (NT), desmeknopp (NT), korskovall (NT), loppstarr (NT), solvända (NT), sommarfibbla (NT), svinrot (NT), vippärt (NT, T), åkerkulla (NT), tibast (S, T), tvåblad (S, §8), brudborste (T), ängskovall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